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E1" w:rsidRDefault="003C71E1" w:rsidP="003C71E1">
      <w:pPr>
        <w:pStyle w:val="ae"/>
        <w:shd w:val="clear" w:color="auto" w:fill="FFFFFF"/>
        <w:spacing w:before="150" w:after="150"/>
        <w:jc w:val="center"/>
        <w:rPr>
          <w:color w:val="0070C0"/>
          <w:sz w:val="32"/>
          <w:szCs w:val="32"/>
        </w:rPr>
      </w:pPr>
      <w:r w:rsidRPr="003C71E1">
        <w:rPr>
          <w:color w:val="0070C0"/>
          <w:sz w:val="32"/>
          <w:szCs w:val="32"/>
        </w:rPr>
        <w:t>НОВЫЙ ГОД В ДОМБАЕ</w:t>
      </w:r>
    </w:p>
    <w:p w:rsidR="003C71E1" w:rsidRPr="003C71E1" w:rsidRDefault="003C71E1" w:rsidP="003C71E1">
      <w:pPr>
        <w:pStyle w:val="ae"/>
        <w:shd w:val="clear" w:color="auto" w:fill="FFFFFF"/>
        <w:spacing w:before="150" w:after="150"/>
        <w:jc w:val="center"/>
        <w:rPr>
          <w:color w:val="0070C0"/>
          <w:sz w:val="32"/>
          <w:szCs w:val="32"/>
        </w:rPr>
      </w:pPr>
      <w:r>
        <w:rPr>
          <w:b/>
          <w:bCs/>
          <w:color w:val="363636"/>
          <w:sz w:val="18"/>
          <w:szCs w:val="18"/>
          <w:shd w:val="clear" w:color="auto" w:fill="FFFFFF"/>
        </w:rPr>
        <w:t>31.12 - 03.01</w:t>
      </w:r>
    </w:p>
    <w:p w:rsidR="003C71E1" w:rsidRDefault="003C71E1" w:rsidP="003C71E1">
      <w:pPr>
        <w:pStyle w:val="ae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</w:p>
    <w:p w:rsidR="003C71E1" w:rsidRDefault="003C71E1" w:rsidP="003C71E1">
      <w:pPr>
        <w:pStyle w:val="ae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Комфортный тур для любителей самостоятельного времяпровождения, без экскурсий с возможностью встретить </w:t>
      </w:r>
      <w:r>
        <w:rPr>
          <w:rStyle w:val="a4"/>
          <w:color w:val="FF0000"/>
          <w:sz w:val="18"/>
          <w:szCs w:val="18"/>
        </w:rPr>
        <w:t>Новый - 2020 год </w:t>
      </w:r>
      <w:r>
        <w:rPr>
          <w:rStyle w:val="a4"/>
          <w:color w:val="363636"/>
          <w:sz w:val="18"/>
          <w:szCs w:val="18"/>
        </w:rPr>
        <w:t>«в самом центре Кавказских гор» - Домбае.</w:t>
      </w:r>
    </w:p>
    <w:p w:rsidR="003C71E1" w:rsidRDefault="003C71E1" w:rsidP="003C71E1">
      <w:pPr>
        <w:pStyle w:val="ae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rStyle w:val="a4"/>
          <w:color w:val="363636"/>
          <w:sz w:val="18"/>
          <w:szCs w:val="18"/>
        </w:rPr>
        <w:t>Домбай</w:t>
      </w:r>
      <w:r>
        <w:rPr>
          <w:color w:val="363636"/>
          <w:sz w:val="18"/>
          <w:szCs w:val="18"/>
        </w:rPr>
        <w:t xml:space="preserve"> – один из самых солнечных курортов Северного Кавказа. Поселок Домбай расположен в самом центре Тебердинского заповедника на высоте 1750 метров при слиянии трех рек: </w:t>
      </w:r>
      <w:proofErr w:type="spellStart"/>
      <w:r>
        <w:rPr>
          <w:color w:val="363636"/>
          <w:sz w:val="18"/>
          <w:szCs w:val="18"/>
        </w:rPr>
        <w:t>Аманауза</w:t>
      </w:r>
      <w:proofErr w:type="spellEnd"/>
      <w:r>
        <w:rPr>
          <w:color w:val="363636"/>
          <w:sz w:val="18"/>
          <w:szCs w:val="18"/>
        </w:rPr>
        <w:t>, Домбай-</w:t>
      </w:r>
      <w:proofErr w:type="spellStart"/>
      <w:r>
        <w:rPr>
          <w:color w:val="363636"/>
          <w:sz w:val="18"/>
          <w:szCs w:val="18"/>
        </w:rPr>
        <w:t>Ульгена</w:t>
      </w:r>
      <w:proofErr w:type="spellEnd"/>
      <w:r>
        <w:rPr>
          <w:color w:val="363636"/>
          <w:sz w:val="18"/>
          <w:szCs w:val="18"/>
        </w:rPr>
        <w:t xml:space="preserve"> и </w:t>
      </w:r>
      <w:proofErr w:type="gramStart"/>
      <w:r>
        <w:rPr>
          <w:color w:val="363636"/>
          <w:sz w:val="18"/>
          <w:szCs w:val="18"/>
        </w:rPr>
        <w:t>Али-бека</w:t>
      </w:r>
      <w:proofErr w:type="gramEnd"/>
      <w:r>
        <w:rPr>
          <w:color w:val="363636"/>
          <w:sz w:val="18"/>
          <w:szCs w:val="18"/>
        </w:rPr>
        <w:t>.  Самые высокие вершины поднимаются до высоты 4000 - 5000м. Склоны гор на высоте 2500-3000 м почти круглый год покрыты голубым снежным покровом.</w:t>
      </w:r>
    </w:p>
    <w:p w:rsidR="003C71E1" w:rsidRDefault="003C71E1" w:rsidP="003C71E1">
      <w:pPr>
        <w:pStyle w:val="ae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Домбай</w:t>
      </w:r>
      <w:r>
        <w:rPr>
          <w:color w:val="363636"/>
          <w:sz w:val="18"/>
          <w:szCs w:val="18"/>
        </w:rPr>
        <w:t xml:space="preserve"> называют сердцем гор. Горы... Неповторимые очертания — суть всей красоты этой замечательной местности. Немного в мире найдется мест с таким разнообразием </w:t>
      </w:r>
      <w:bookmarkStart w:id="0" w:name="_GoBack"/>
      <w:bookmarkEnd w:id="0"/>
      <w:r>
        <w:rPr>
          <w:color w:val="363636"/>
          <w:sz w:val="18"/>
          <w:szCs w:val="18"/>
        </w:rPr>
        <w:t>и богатством природы. Домбай является центром альпинизма и туризма на Кавказе. На небольшой площади сосредоточено все, что привлекают многочисленных туристов и альпинистов: красота гор, богатство ледников, роскошь леса и растительности, кристально чистый воздух, теплая, без резких температурных колебаний, солнечная тихая погода — все это создает прекрасные условия для полноценного отдыха.</w:t>
      </w:r>
    </w:p>
    <w:p w:rsidR="003C71E1" w:rsidRDefault="003C71E1" w:rsidP="003C71E1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с человека за тур</w:t>
      </w:r>
    </w:p>
    <w:p w:rsidR="003C71E1" w:rsidRDefault="003C71E1" w:rsidP="003C71E1">
      <w:pPr>
        <w:pStyle w:val="ae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proofErr w:type="spellStart"/>
      <w:r>
        <w:rPr>
          <w:b/>
          <w:bCs/>
          <w:color w:val="363636"/>
          <w:sz w:val="18"/>
          <w:szCs w:val="18"/>
        </w:rPr>
        <w:t>Гостиниц</w:t>
      </w:r>
      <w:proofErr w:type="gramStart"/>
      <w:r>
        <w:rPr>
          <w:b/>
          <w:bCs/>
          <w:color w:val="363636"/>
          <w:sz w:val="18"/>
          <w:szCs w:val="18"/>
        </w:rPr>
        <w:t>а«</w:t>
      </w:r>
      <w:proofErr w:type="gramEnd"/>
      <w:r>
        <w:rPr>
          <w:b/>
          <w:bCs/>
          <w:color w:val="363636"/>
          <w:sz w:val="18"/>
          <w:szCs w:val="18"/>
        </w:rPr>
        <w:t>ТАУЛУ</w:t>
      </w:r>
      <w:proofErr w:type="spellEnd"/>
      <w:r>
        <w:rPr>
          <w:b/>
          <w:bCs/>
          <w:color w:val="363636"/>
          <w:sz w:val="18"/>
          <w:szCs w:val="18"/>
        </w:rPr>
        <w:t>» </w:t>
      </w:r>
      <w:r>
        <w:rPr>
          <w:color w:val="363636"/>
          <w:sz w:val="18"/>
          <w:szCs w:val="18"/>
        </w:rPr>
        <w:t>расположена в центре Домбайской поляны (1750 м  над уровнем моря), рядом с первой очередью (50 м) канатно-кресельной дороги,  на правом берегу реки Домбай-</w:t>
      </w:r>
      <w:proofErr w:type="spellStart"/>
      <w:r>
        <w:rPr>
          <w:color w:val="363636"/>
          <w:sz w:val="18"/>
          <w:szCs w:val="18"/>
        </w:rPr>
        <w:t>Ульген</w:t>
      </w:r>
      <w:proofErr w:type="spellEnd"/>
      <w:r>
        <w:rPr>
          <w:color w:val="363636"/>
          <w:sz w:val="18"/>
          <w:szCs w:val="18"/>
        </w:rPr>
        <w:t>. На территории есть кафе, диско-бар с камином, баня,  бесплатная охраняемая автостоянка,  на берегу реки есть мангалы, беседка, столики для пикника. </w:t>
      </w:r>
      <w:r>
        <w:rPr>
          <w:rStyle w:val="a4"/>
          <w:color w:val="363636"/>
          <w:sz w:val="18"/>
          <w:szCs w:val="18"/>
          <w:u w:val="single"/>
        </w:rPr>
        <w:t>К</w:t>
      </w:r>
      <w:r>
        <w:rPr>
          <w:b/>
          <w:bCs/>
          <w:color w:val="363636"/>
          <w:sz w:val="18"/>
          <w:szCs w:val="18"/>
          <w:u w:val="single"/>
        </w:rPr>
        <w:t>орпус:</w:t>
      </w:r>
      <w:r>
        <w:rPr>
          <w:b/>
          <w:bCs/>
          <w:color w:val="363636"/>
          <w:sz w:val="18"/>
          <w:szCs w:val="18"/>
        </w:rPr>
        <w:t>  </w:t>
      </w:r>
      <w:r>
        <w:rPr>
          <w:b/>
          <w:bCs/>
          <w:color w:val="363636"/>
          <w:sz w:val="18"/>
          <w:szCs w:val="18"/>
          <w:u w:val="single"/>
        </w:rPr>
        <w:t>Стандарт:</w:t>
      </w:r>
      <w:r>
        <w:rPr>
          <w:color w:val="363636"/>
          <w:sz w:val="18"/>
          <w:szCs w:val="18"/>
        </w:rPr>
        <w:t> 2-х,3-х местные  уютные номера с отделкой из натурального дерева. В номере хорошая мебель, ТВ,  душ, санузел. </w:t>
      </w:r>
      <w:r>
        <w:rPr>
          <w:b/>
          <w:bCs/>
          <w:color w:val="363636"/>
          <w:sz w:val="18"/>
          <w:szCs w:val="18"/>
          <w:u w:val="single"/>
        </w:rPr>
        <w:t>Коттедж № 4: </w:t>
      </w:r>
      <w:r>
        <w:rPr>
          <w:b/>
          <w:bCs/>
          <w:color w:val="363636"/>
          <w:sz w:val="18"/>
          <w:szCs w:val="18"/>
        </w:rPr>
        <w:t>   </w:t>
      </w:r>
      <w:r>
        <w:rPr>
          <w:b/>
          <w:bCs/>
          <w:color w:val="363636"/>
          <w:sz w:val="18"/>
          <w:szCs w:val="18"/>
          <w:u w:val="single"/>
        </w:rPr>
        <w:t>Стандарт:</w:t>
      </w:r>
      <w:r>
        <w:rPr>
          <w:color w:val="363636"/>
          <w:sz w:val="18"/>
          <w:szCs w:val="18"/>
        </w:rPr>
        <w:t xml:space="preserve">  простые, бюджетные  2-х, 3-х местные номера. В номере, набор стандартной мебели, TV, душ, санузел. Доп. место в номере - </w:t>
      </w:r>
      <w:proofErr w:type="spellStart"/>
      <w:r>
        <w:rPr>
          <w:color w:val="363636"/>
          <w:sz w:val="18"/>
          <w:szCs w:val="18"/>
        </w:rPr>
        <w:t>еврораскладушка</w:t>
      </w:r>
      <w:proofErr w:type="spellEnd"/>
      <w:r>
        <w:rPr>
          <w:color w:val="363636"/>
          <w:sz w:val="18"/>
          <w:szCs w:val="18"/>
        </w:rPr>
        <w:t>. </w:t>
      </w:r>
      <w:r>
        <w:rPr>
          <w:rStyle w:val="a4"/>
          <w:color w:val="363636"/>
          <w:sz w:val="18"/>
          <w:szCs w:val="18"/>
        </w:rPr>
        <w:t>Питание Завтраки - накрытие. </w:t>
      </w:r>
    </w:p>
    <w:p w:rsidR="003C71E1" w:rsidRDefault="003C71E1" w:rsidP="003C71E1">
      <w:pPr>
        <w:pStyle w:val="ae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Расчётный час заселение в гостиницу 31.12  в  09.00 (без доплат), освобождение номеров 03.01 в 12.00</w:t>
      </w:r>
    </w:p>
    <w:p w:rsidR="003C71E1" w:rsidRDefault="003C71E1" w:rsidP="003C71E1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</w:t>
      </w:r>
    </w:p>
    <w:p w:rsidR="003C71E1" w:rsidRDefault="003C71E1" w:rsidP="003C71E1">
      <w:pPr>
        <w:pStyle w:val="ae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Гостиница «СНЕЖНЫЙ БАРС»</w:t>
      </w:r>
      <w:r>
        <w:rPr>
          <w:color w:val="363636"/>
          <w:sz w:val="18"/>
          <w:szCs w:val="18"/>
        </w:rPr>
        <w:t> расположена в центре курортного поселка «Домбай» (1750 метров над уровнем моря), в 350 метрах от  гондольной дороги, Отель состоит из двух корпусов. Основной -  пятиэтажный корпус,  в здании работает лифт. На территории есть ресторан с европейской и кавказской кухней, бар, бильярд, беседки и площадки с мангалами. Есть прокат горнолыжного снаряжения, лыжехранилище, сушка, охраняемая автостоянка.  </w:t>
      </w:r>
      <w:r>
        <w:rPr>
          <w:b/>
          <w:bCs/>
          <w:color w:val="363636"/>
          <w:sz w:val="18"/>
          <w:szCs w:val="18"/>
          <w:u w:val="single"/>
        </w:rPr>
        <w:t>Стандарт:</w:t>
      </w:r>
      <w:r>
        <w:rPr>
          <w:color w:val="363636"/>
          <w:sz w:val="18"/>
          <w:szCs w:val="18"/>
        </w:rPr>
        <w:t>  2-х,3-х местные уютные номера</w:t>
      </w:r>
      <w:proofErr w:type="gramStart"/>
      <w:r>
        <w:rPr>
          <w:color w:val="363636"/>
          <w:sz w:val="18"/>
          <w:szCs w:val="18"/>
        </w:rPr>
        <w:t xml:space="preserve"> ,</w:t>
      </w:r>
      <w:proofErr w:type="gramEnd"/>
      <w:r>
        <w:rPr>
          <w:color w:val="363636"/>
          <w:sz w:val="18"/>
          <w:szCs w:val="18"/>
        </w:rPr>
        <w:t xml:space="preserve"> в номере – TV, холодильник,  стандартный набор мебели, сейф,  душ, с/у. Доп. место в номере - </w:t>
      </w:r>
      <w:proofErr w:type="spellStart"/>
      <w:r>
        <w:rPr>
          <w:color w:val="363636"/>
          <w:sz w:val="18"/>
          <w:szCs w:val="18"/>
        </w:rPr>
        <w:t>еврораскладушка</w:t>
      </w:r>
      <w:proofErr w:type="spellEnd"/>
      <w:r>
        <w:rPr>
          <w:color w:val="363636"/>
          <w:sz w:val="18"/>
          <w:szCs w:val="18"/>
        </w:rPr>
        <w:t>. </w:t>
      </w:r>
      <w:r>
        <w:rPr>
          <w:rStyle w:val="a4"/>
          <w:color w:val="363636"/>
          <w:sz w:val="18"/>
          <w:szCs w:val="18"/>
        </w:rPr>
        <w:t>Питание завтраки - "шведский стол".</w:t>
      </w:r>
    </w:p>
    <w:p w:rsidR="003C71E1" w:rsidRDefault="003C71E1" w:rsidP="003C71E1">
      <w:pPr>
        <w:pStyle w:val="ae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Расчётный час заселения в гостиницу  строго по расчетному часу - 31.12  в 14.00.  Раннее размещение возможно при наличии свободных  номеров и за доп. плату; освобождение номеров 03.01 - 12.00.</w:t>
      </w:r>
    </w:p>
    <w:tbl>
      <w:tblPr>
        <w:tblW w:w="106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8"/>
        <w:gridCol w:w="2016"/>
        <w:gridCol w:w="1835"/>
        <w:gridCol w:w="2031"/>
      </w:tblGrid>
      <w:tr w:rsidR="003C71E1" w:rsidTr="003C71E1">
        <w:trPr>
          <w:trHeight w:val="570"/>
          <w:tblCellSpacing w:w="15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  <w:sz w:val="18"/>
                <w:szCs w:val="18"/>
              </w:rPr>
              <w:t>Размещение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pStyle w:val="ae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        Гостиница "ТАУЛУ"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pStyle w:val="ae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Гостиница</w:t>
            </w:r>
          </w:p>
          <w:p w:rsidR="003C71E1" w:rsidRDefault="003C71E1">
            <w:pPr>
              <w:pStyle w:val="ae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"СНЕЖНЫЙ БАРС"</w:t>
            </w:r>
          </w:p>
        </w:tc>
      </w:tr>
      <w:tr w:rsidR="003C71E1" w:rsidTr="003C71E1">
        <w:trPr>
          <w:trHeight w:val="300"/>
          <w:tblCellSpacing w:w="15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  <w:sz w:val="18"/>
                <w:szCs w:val="18"/>
              </w:rPr>
              <w:t>Категория номера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pStyle w:val="ae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Стандарт "эконом" </w:t>
            </w:r>
          </w:p>
          <w:p w:rsidR="003C71E1" w:rsidRDefault="003C71E1">
            <w:pPr>
              <w:pStyle w:val="ae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IV коттедж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pStyle w:val="ae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Стандарт</w:t>
            </w:r>
          </w:p>
          <w:p w:rsidR="003C71E1" w:rsidRDefault="003C71E1">
            <w:pPr>
              <w:pStyle w:val="ae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(Корпус)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pStyle w:val="ae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Стандарт</w:t>
            </w:r>
          </w:p>
          <w:p w:rsidR="003C71E1" w:rsidRDefault="003C71E1">
            <w:pPr>
              <w:pStyle w:val="ae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(Главный корпус)</w:t>
            </w:r>
          </w:p>
        </w:tc>
      </w:tr>
      <w:tr w:rsidR="003C71E1" w:rsidTr="003C71E1">
        <w:trPr>
          <w:trHeight w:val="300"/>
          <w:tblCellSpacing w:w="15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  <w:sz w:val="18"/>
                <w:szCs w:val="18"/>
              </w:rPr>
              <w:t>Без проезда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  <w:sz w:val="18"/>
                <w:szCs w:val="18"/>
              </w:rPr>
              <w:t>Без проезда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  <w:sz w:val="18"/>
                <w:szCs w:val="18"/>
              </w:rPr>
              <w:t>Без проезда</w:t>
            </w:r>
          </w:p>
        </w:tc>
      </w:tr>
      <w:tr w:rsidR="003C71E1" w:rsidTr="003C71E1">
        <w:trPr>
          <w:trHeight w:val="300"/>
          <w:tblCellSpacing w:w="15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  <w:sz w:val="18"/>
                <w:szCs w:val="18"/>
              </w:rPr>
              <w:t>Основное место в номере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 10 500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13 800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 13 500 </w:t>
            </w:r>
          </w:p>
        </w:tc>
      </w:tr>
      <w:tr w:rsidR="003C71E1" w:rsidTr="003C71E1">
        <w:trPr>
          <w:trHeight w:val="300"/>
          <w:tblCellSpacing w:w="15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  <w:sz w:val="18"/>
                <w:szCs w:val="18"/>
              </w:rPr>
              <w:t>Доп. место в номере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   9 500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12 500</w:t>
            </w:r>
          </w:p>
        </w:tc>
      </w:tr>
      <w:tr w:rsidR="003C71E1" w:rsidTr="003C71E1">
        <w:trPr>
          <w:trHeight w:val="435"/>
          <w:tblCellSpacing w:w="15" w:type="dxa"/>
        </w:trPr>
        <w:tc>
          <w:tcPr>
            <w:tcW w:w="10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3C71E1" w:rsidRDefault="003C71E1">
            <w:pPr>
              <w:pStyle w:val="ae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Детям до 12 лет на основное место предоставляется скидка – 5 %</w:t>
            </w:r>
          </w:p>
        </w:tc>
      </w:tr>
    </w:tbl>
    <w:p w:rsidR="003C71E1" w:rsidRDefault="003C71E1" w:rsidP="003C71E1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В стоимость входит:</w:t>
      </w:r>
    </w:p>
    <w:p w:rsidR="003C71E1" w:rsidRDefault="003C71E1" w:rsidP="003C71E1">
      <w:pPr>
        <w:pStyle w:val="ae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Проживание согласно выбранной категории, питание - 3 завтрака.</w:t>
      </w:r>
    </w:p>
    <w:p w:rsidR="003C71E1" w:rsidRDefault="003C71E1" w:rsidP="003C71E1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3C71E1" w:rsidRDefault="003C71E1" w:rsidP="003C71E1">
      <w:pPr>
        <w:numPr>
          <w:ilvl w:val="0"/>
          <w:numId w:val="6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Проезд на автобусе  Краснодар – Домбай - Краснодар (по желанию)</w:t>
      </w:r>
    </w:p>
    <w:p w:rsidR="003C71E1" w:rsidRDefault="003C71E1" w:rsidP="003C71E1">
      <w:pPr>
        <w:numPr>
          <w:ilvl w:val="0"/>
          <w:numId w:val="6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Стоимость проезда туда – обратно (в обе стороны) - </w:t>
      </w:r>
      <w:r>
        <w:rPr>
          <w:rFonts w:ascii="Arial" w:hAnsi="Arial" w:cs="Arial"/>
          <w:b/>
          <w:bCs/>
          <w:color w:val="363636"/>
          <w:sz w:val="18"/>
          <w:szCs w:val="18"/>
        </w:rPr>
        <w:t>3500 руб. /чел.</w:t>
      </w:r>
      <w:r>
        <w:rPr>
          <w:rFonts w:ascii="Arial" w:hAnsi="Arial" w:cs="Arial"/>
          <w:color w:val="363636"/>
          <w:sz w:val="18"/>
          <w:szCs w:val="18"/>
        </w:rPr>
        <w:t xml:space="preserve"> – </w:t>
      </w:r>
    </w:p>
    <w:p w:rsidR="003C71E1" w:rsidRDefault="003C71E1" w:rsidP="003C71E1">
      <w:pPr>
        <w:numPr>
          <w:ilvl w:val="0"/>
          <w:numId w:val="6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Стоимость проезда в одну сторону</w:t>
      </w:r>
      <w:r>
        <w:rPr>
          <w:rFonts w:ascii="Arial" w:hAnsi="Arial" w:cs="Arial"/>
          <w:b/>
          <w:bCs/>
          <w:color w:val="363636"/>
          <w:sz w:val="18"/>
          <w:szCs w:val="18"/>
        </w:rPr>
        <w:t> – 2500 руб./чел. </w:t>
      </w:r>
    </w:p>
    <w:p w:rsidR="003C71E1" w:rsidRDefault="003C71E1" w:rsidP="003C71E1">
      <w:pPr>
        <w:numPr>
          <w:ilvl w:val="0"/>
          <w:numId w:val="6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Услуги, не входящие в стоимость тура</w:t>
      </w:r>
    </w:p>
    <w:p w:rsidR="003C71E1" w:rsidRDefault="003C71E1" w:rsidP="003C71E1">
      <w:pPr>
        <w:pStyle w:val="ae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lastRenderedPageBreak/>
        <w:t>Сбор 30.12 в 23.30. Выезд из Краснодара  в  23.45  от магазина «МАГНИТ - КОСМЕТИК»   </w:t>
      </w:r>
      <w:r>
        <w:rPr>
          <w:color w:val="363636"/>
          <w:sz w:val="18"/>
          <w:szCs w:val="18"/>
        </w:rPr>
        <w:t xml:space="preserve">(ул. </w:t>
      </w:r>
      <w:proofErr w:type="gramStart"/>
      <w:r>
        <w:rPr>
          <w:color w:val="363636"/>
          <w:sz w:val="18"/>
          <w:szCs w:val="18"/>
        </w:rPr>
        <w:t>Ставропольская</w:t>
      </w:r>
      <w:proofErr w:type="gramEnd"/>
      <w:r>
        <w:rPr>
          <w:color w:val="363636"/>
          <w:sz w:val="18"/>
          <w:szCs w:val="18"/>
        </w:rPr>
        <w:t>, 86 – напротив сквера, район «Вещевого рынка»). </w:t>
      </w:r>
      <w:r>
        <w:rPr>
          <w:b/>
          <w:bCs/>
          <w:color w:val="363636"/>
          <w:sz w:val="18"/>
          <w:szCs w:val="18"/>
        </w:rPr>
        <w:t>Прибытие в  Домбай утром 31.12.</w:t>
      </w:r>
      <w:r>
        <w:rPr>
          <w:color w:val="363636"/>
          <w:sz w:val="18"/>
          <w:szCs w:val="18"/>
        </w:rPr>
        <w:t> Размещение по расчётному часу:</w:t>
      </w:r>
    </w:p>
    <w:p w:rsidR="003C71E1" w:rsidRDefault="003C71E1" w:rsidP="003C71E1">
      <w:pPr>
        <w:pStyle w:val="ae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sz w:val="18"/>
          <w:szCs w:val="18"/>
        </w:rPr>
        <w:t xml:space="preserve">Обратно выезд: сбор 03.01 возле </w:t>
      </w:r>
      <w:proofErr w:type="gramStart"/>
      <w:r>
        <w:rPr>
          <w:b/>
          <w:bCs/>
          <w:sz w:val="18"/>
          <w:szCs w:val="18"/>
        </w:rPr>
        <w:t>г</w:t>
      </w:r>
      <w:proofErr w:type="gramEnd"/>
      <w:r>
        <w:rPr>
          <w:b/>
          <w:bCs/>
          <w:sz w:val="18"/>
          <w:szCs w:val="18"/>
        </w:rPr>
        <w:t>/к «ТАУЛУ в 13.30. Отъе</w:t>
      </w:r>
      <w:proofErr w:type="gramStart"/>
      <w:r>
        <w:rPr>
          <w:b/>
          <w:bCs/>
          <w:sz w:val="18"/>
          <w:szCs w:val="18"/>
        </w:rPr>
        <w:t>зд в Кр</w:t>
      </w:r>
      <w:proofErr w:type="gramEnd"/>
      <w:r>
        <w:rPr>
          <w:b/>
          <w:bCs/>
          <w:sz w:val="18"/>
          <w:szCs w:val="18"/>
        </w:rPr>
        <w:t>аснодар в 14.00</w:t>
      </w:r>
    </w:p>
    <w:p w:rsidR="00447CC5" w:rsidRDefault="00447CC5" w:rsidP="00CA5193"/>
    <w:sectPr w:rsidR="00447CC5" w:rsidSect="003C71E1">
      <w:headerReference w:type="default" r:id="rId8"/>
      <w:pgSz w:w="11906" w:h="16838"/>
      <w:pgMar w:top="135" w:right="454" w:bottom="45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7C" w:rsidRDefault="005F647C">
      <w:r>
        <w:separator/>
      </w:r>
    </w:p>
  </w:endnote>
  <w:endnote w:type="continuationSeparator" w:id="0">
    <w:p w:rsidR="005F647C" w:rsidRDefault="005F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7C" w:rsidRDefault="005F647C">
      <w:r>
        <w:separator/>
      </w:r>
    </w:p>
  </w:footnote>
  <w:footnote w:type="continuationSeparator" w:id="0">
    <w:p w:rsidR="005F647C" w:rsidRDefault="005F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7" w:type="dxa"/>
      <w:tblLook w:val="01E0" w:firstRow="1" w:lastRow="1" w:firstColumn="1" w:lastColumn="1" w:noHBand="0" w:noVBand="0"/>
    </w:tblPr>
    <w:tblGrid>
      <w:gridCol w:w="1704"/>
      <w:gridCol w:w="8645"/>
    </w:tblGrid>
    <w:tr w:rsidR="00447CC5">
      <w:trPr>
        <w:trHeight w:val="694"/>
      </w:trPr>
      <w:tc>
        <w:tcPr>
          <w:tcW w:w="1702" w:type="dxa"/>
          <w:shd w:val="clear" w:color="auto" w:fill="auto"/>
        </w:tcPr>
        <w:p w:rsidR="003C71E1" w:rsidRDefault="003C71E1">
          <w:pPr>
            <w:rPr>
              <w:noProof/>
            </w:rPr>
          </w:pPr>
        </w:p>
        <w:p w:rsidR="00447CC5" w:rsidRDefault="005F647C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F010D52" wp14:editId="6668F61A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3C71E1" w:rsidRDefault="003C71E1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</w:p>
        <w:p w:rsidR="00447CC5" w:rsidRDefault="005F647C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 xml:space="preserve">ООО «Альянс </w:t>
          </w:r>
          <w:proofErr w:type="spellStart"/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ТУРЫ</w:t>
          </w:r>
          <w:proofErr w:type="gramStart"/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.р</w:t>
          </w:r>
          <w:proofErr w:type="gramEnd"/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у</w:t>
          </w:r>
          <w:proofErr w:type="spellEnd"/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 xml:space="preserve">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447CC5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447CC5" w:rsidRDefault="005F647C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г. Краснодар, ул. </w:t>
                </w:r>
                <w:proofErr w:type="gramStart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Северная</w:t>
                </w:r>
                <w:proofErr w:type="gramEnd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 286, оф.206</w:t>
                </w:r>
              </w:p>
              <w:p w:rsidR="00447CC5" w:rsidRDefault="005F647C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447CC5" w:rsidRDefault="005F647C">
          <w:pPr>
            <w:jc w:val="center"/>
          </w:pPr>
          <w:hyperlink r:id="rId2">
            <w:r>
              <w:rPr>
                <w:rStyle w:val="ListLabel43"/>
              </w:rPr>
              <w:t>www</w:t>
            </w:r>
            <w:r w:rsidRPr="00CA5193">
              <w:rPr>
                <w:rStyle w:val="ListLabel43"/>
                <w:lang w:val="ru-RU"/>
              </w:rPr>
              <w:t>.</w:t>
            </w:r>
            <w:proofErr w:type="spellStart"/>
            <w:r>
              <w:rPr>
                <w:rStyle w:val="ListLabel43"/>
              </w:rPr>
              <w:t>anex</w:t>
            </w:r>
            <w:proofErr w:type="spellEnd"/>
            <w:r w:rsidRPr="00CA5193">
              <w:rPr>
                <w:rStyle w:val="ListLabel43"/>
                <w:lang w:val="ru-RU"/>
              </w:rPr>
              <w:t>-</w:t>
            </w:r>
            <w:proofErr w:type="spellStart"/>
            <w:r>
              <w:rPr>
                <w:rStyle w:val="ListLabel43"/>
              </w:rPr>
              <w:t>krasnodar</w:t>
            </w:r>
            <w:proofErr w:type="spellEnd"/>
            <w:r w:rsidRPr="00CA5193">
              <w:rPr>
                <w:rStyle w:val="ListLabel43"/>
                <w:lang w:val="ru-RU"/>
              </w:rPr>
              <w:t>.</w:t>
            </w:r>
            <w:proofErr w:type="spellStart"/>
            <w:r>
              <w:rPr>
                <w:rStyle w:val="ListLabel43"/>
              </w:rPr>
              <w:t>ru</w:t>
            </w:r>
            <w:proofErr w:type="spellEnd"/>
          </w:hyperlink>
          <w:r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  <w:proofErr w:type="spellEnd"/>
        </w:p>
        <w:p w:rsidR="00447CC5" w:rsidRDefault="005F647C">
          <w:pPr>
            <w:jc w:val="center"/>
          </w:pPr>
          <w:hyperlink r:id="rId3">
            <w:r>
              <w:rPr>
                <w:rStyle w:val="ListLabel43"/>
              </w:rPr>
              <w:t>tury</w:t>
            </w:r>
            <w:r>
              <w:rPr>
                <w:rStyle w:val="ListLabel43"/>
              </w:rPr>
              <w:t>-</w:t>
            </w:r>
            <w:r>
              <w:rPr>
                <w:rStyle w:val="ListLabel43"/>
              </w:rPr>
              <w:t>krasnodar</w:t>
            </w:r>
            <w:r>
              <w:rPr>
                <w:rStyle w:val="ListLabel43"/>
              </w:rPr>
              <w:t>@</w:t>
            </w:r>
            <w:r>
              <w:rPr>
                <w:rStyle w:val="ListLabel43"/>
              </w:rPr>
              <w:t>yandex</w:t>
            </w:r>
            <w:r>
              <w:rPr>
                <w:rStyle w:val="ListLabel43"/>
              </w:rPr>
              <w:t>.</w:t>
            </w:r>
            <w:r>
              <w:rPr>
                <w:rStyle w:val="ListLabel43"/>
              </w:rPr>
              <w:t>ru</w:t>
            </w:r>
          </w:hyperlink>
        </w:p>
      </w:tc>
    </w:tr>
  </w:tbl>
  <w:p w:rsidR="00447CC5" w:rsidRDefault="00447CC5">
    <w:pPr>
      <w:shd w:val="clear" w:color="auto" w:fill="0099FF"/>
      <w:spacing w:beforeAutospacing="1" w:afterAutospacing="1"/>
      <w:jc w:val="center"/>
      <w:outlineLvl w:val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A99"/>
    <w:multiLevelType w:val="multilevel"/>
    <w:tmpl w:val="793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0E303D6"/>
    <w:multiLevelType w:val="multilevel"/>
    <w:tmpl w:val="BDCE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3140AF9"/>
    <w:multiLevelType w:val="multilevel"/>
    <w:tmpl w:val="397A57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CC656AA"/>
    <w:multiLevelType w:val="multilevel"/>
    <w:tmpl w:val="2648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C16E3"/>
    <w:multiLevelType w:val="multilevel"/>
    <w:tmpl w:val="88DE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73C35503"/>
    <w:multiLevelType w:val="multilevel"/>
    <w:tmpl w:val="265E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C5"/>
    <w:rsid w:val="000F03F7"/>
    <w:rsid w:val="003C71E1"/>
    <w:rsid w:val="00447CC5"/>
    <w:rsid w:val="005F647C"/>
    <w:rsid w:val="00C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Emphasis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uiPriority w:val="99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/>
      <w:sz w:val="18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rFonts w:ascii="Arial" w:hAnsi="Arial"/>
      <w:sz w:val="18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ascii="Arial" w:hAnsi="Arial"/>
      <w:sz w:val="18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rFonts w:ascii="Arial" w:hAnsi="Arial"/>
      <w:sz w:val="18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44">
    <w:name w:val="ListLabel 44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ListLabel45">
    <w:name w:val="ListLabel 45"/>
    <w:qFormat/>
    <w:rPr>
      <w:rFonts w:ascii="Arial" w:hAnsi="Arial" w:cs="Symbol"/>
      <w:sz w:val="18"/>
    </w:rPr>
  </w:style>
  <w:style w:type="character" w:customStyle="1" w:styleId="ListLabel46">
    <w:name w:val="ListLabel 46"/>
    <w:qFormat/>
    <w:rPr>
      <w:rFonts w:cs="Courier New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ascii="Arial" w:hAnsi="Arial" w:cs="Symbol"/>
      <w:sz w:val="18"/>
    </w:rPr>
  </w:style>
  <w:style w:type="character" w:customStyle="1" w:styleId="ListLabel55">
    <w:name w:val="ListLabel 55"/>
    <w:qFormat/>
    <w:rPr>
      <w:rFonts w:cs="Courier New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ascii="Arial" w:hAnsi="Arial" w:cs="Symbol"/>
      <w:sz w:val="18"/>
    </w:rPr>
  </w:style>
  <w:style w:type="character" w:customStyle="1" w:styleId="ListLabel64">
    <w:name w:val="ListLabel 64"/>
    <w:qFormat/>
    <w:rPr>
      <w:rFonts w:cs="Courier New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ascii="Arial" w:hAnsi="Arial" w:cs="Symbol"/>
      <w:sz w:val="18"/>
    </w:rPr>
  </w:style>
  <w:style w:type="character" w:customStyle="1" w:styleId="ListLabel73">
    <w:name w:val="ListLabel 73"/>
    <w:qFormat/>
    <w:rPr>
      <w:rFonts w:cs="Courier New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2">
    <w:name w:val="ListLabel 82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tabs>
        <w:tab w:val="left" w:pos="6780"/>
      </w:tabs>
      <w:jc w:val="both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qFormat/>
    <w:rPr>
      <w:bCs/>
      <w:color w:val="000000"/>
      <w:sz w:val="28"/>
    </w:rPr>
  </w:style>
  <w:style w:type="paragraph" w:styleId="30">
    <w:name w:val="Body Text 3"/>
    <w:basedOn w:val="a"/>
    <w:qFormat/>
    <w:pPr>
      <w:jc w:val="center"/>
    </w:pPr>
    <w:rPr>
      <w:bCs/>
      <w:color w:val="000000"/>
      <w:sz w:val="36"/>
    </w:rPr>
  </w:style>
  <w:style w:type="paragraph" w:styleId="ae">
    <w:name w:val="Normal (Web)"/>
    <w:basedOn w:val="a"/>
    <w:uiPriority w:val="99"/>
    <w:qFormat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0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1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314AF5"/>
    <w:pPr>
      <w:tabs>
        <w:tab w:val="center" w:pos="4677"/>
        <w:tab w:val="right" w:pos="9355"/>
      </w:tabs>
    </w:pPr>
  </w:style>
  <w:style w:type="table" w:styleId="af3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basedOn w:val="a"/>
    <w:link w:val="af5"/>
    <w:uiPriority w:val="1"/>
    <w:qFormat/>
    <w:rsid w:val="00CA5193"/>
    <w:rPr>
      <w:rFonts w:ascii="Calibri" w:hAnsi="Calibri"/>
      <w:i/>
      <w:iCs/>
      <w:color w:val="auto"/>
      <w:sz w:val="20"/>
      <w:szCs w:val="20"/>
      <w:lang w:val="en-US" w:eastAsia="en-US" w:bidi="en-US"/>
    </w:rPr>
  </w:style>
  <w:style w:type="character" w:customStyle="1" w:styleId="af5">
    <w:name w:val="Без интервала Знак"/>
    <w:basedOn w:val="a0"/>
    <w:link w:val="af4"/>
    <w:uiPriority w:val="1"/>
    <w:rsid w:val="00CA5193"/>
    <w:rPr>
      <w:rFonts w:ascii="Calibri" w:hAnsi="Calibri"/>
      <w:i/>
      <w:i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Emphasis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uiPriority w:val="99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/>
      <w:sz w:val="18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rFonts w:ascii="Arial" w:hAnsi="Arial"/>
      <w:sz w:val="18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ascii="Arial" w:hAnsi="Arial"/>
      <w:sz w:val="18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rFonts w:ascii="Arial" w:hAnsi="Arial"/>
      <w:sz w:val="18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44">
    <w:name w:val="ListLabel 44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ListLabel45">
    <w:name w:val="ListLabel 45"/>
    <w:qFormat/>
    <w:rPr>
      <w:rFonts w:ascii="Arial" w:hAnsi="Arial" w:cs="Symbol"/>
      <w:sz w:val="18"/>
    </w:rPr>
  </w:style>
  <w:style w:type="character" w:customStyle="1" w:styleId="ListLabel46">
    <w:name w:val="ListLabel 46"/>
    <w:qFormat/>
    <w:rPr>
      <w:rFonts w:cs="Courier New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ascii="Arial" w:hAnsi="Arial" w:cs="Symbol"/>
      <w:sz w:val="18"/>
    </w:rPr>
  </w:style>
  <w:style w:type="character" w:customStyle="1" w:styleId="ListLabel55">
    <w:name w:val="ListLabel 55"/>
    <w:qFormat/>
    <w:rPr>
      <w:rFonts w:cs="Courier New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ascii="Arial" w:hAnsi="Arial" w:cs="Symbol"/>
      <w:sz w:val="18"/>
    </w:rPr>
  </w:style>
  <w:style w:type="character" w:customStyle="1" w:styleId="ListLabel64">
    <w:name w:val="ListLabel 64"/>
    <w:qFormat/>
    <w:rPr>
      <w:rFonts w:cs="Courier New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ascii="Arial" w:hAnsi="Arial" w:cs="Symbol"/>
      <w:sz w:val="18"/>
    </w:rPr>
  </w:style>
  <w:style w:type="character" w:customStyle="1" w:styleId="ListLabel73">
    <w:name w:val="ListLabel 73"/>
    <w:qFormat/>
    <w:rPr>
      <w:rFonts w:cs="Courier New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2">
    <w:name w:val="ListLabel 82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tabs>
        <w:tab w:val="left" w:pos="6780"/>
      </w:tabs>
      <w:jc w:val="both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qFormat/>
    <w:rPr>
      <w:bCs/>
      <w:color w:val="000000"/>
      <w:sz w:val="28"/>
    </w:rPr>
  </w:style>
  <w:style w:type="paragraph" w:styleId="30">
    <w:name w:val="Body Text 3"/>
    <w:basedOn w:val="a"/>
    <w:qFormat/>
    <w:pPr>
      <w:jc w:val="center"/>
    </w:pPr>
    <w:rPr>
      <w:bCs/>
      <w:color w:val="000000"/>
      <w:sz w:val="36"/>
    </w:rPr>
  </w:style>
  <w:style w:type="paragraph" w:styleId="ae">
    <w:name w:val="Normal (Web)"/>
    <w:basedOn w:val="a"/>
    <w:uiPriority w:val="99"/>
    <w:qFormat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0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1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314AF5"/>
    <w:pPr>
      <w:tabs>
        <w:tab w:val="center" w:pos="4677"/>
        <w:tab w:val="right" w:pos="9355"/>
      </w:tabs>
    </w:pPr>
  </w:style>
  <w:style w:type="table" w:styleId="af3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basedOn w:val="a"/>
    <w:link w:val="af5"/>
    <w:uiPriority w:val="1"/>
    <w:qFormat/>
    <w:rsid w:val="00CA5193"/>
    <w:rPr>
      <w:rFonts w:ascii="Calibri" w:hAnsi="Calibri"/>
      <w:i/>
      <w:iCs/>
      <w:color w:val="auto"/>
      <w:sz w:val="20"/>
      <w:szCs w:val="20"/>
      <w:lang w:val="en-US" w:eastAsia="en-US" w:bidi="en-US"/>
    </w:rPr>
  </w:style>
  <w:style w:type="character" w:customStyle="1" w:styleId="af5">
    <w:name w:val="Без интервала Знак"/>
    <w:basedOn w:val="a0"/>
    <w:link w:val="af4"/>
    <w:uiPriority w:val="1"/>
    <w:rsid w:val="00CA5193"/>
    <w:rPr>
      <w:rFonts w:ascii="Calibri" w:hAnsi="Calibri"/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Пользователь</cp:lastModifiedBy>
  <cp:revision>2</cp:revision>
  <cp:lastPrinted>2018-10-30T10:55:00Z</cp:lastPrinted>
  <dcterms:created xsi:type="dcterms:W3CDTF">2019-12-13T10:28:00Z</dcterms:created>
  <dcterms:modified xsi:type="dcterms:W3CDTF">2019-12-13T10:28:00Z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