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color w:val="FF0000"/>
          <w:sz w:val="36"/>
        </w:rPr>
        <w:t xml:space="preserve">Тур №3 </w:t>
      </w:r>
      <w:r>
        <w:rPr>
          <w:rFonts w:ascii="Trebuchet MS;sans-serif" w:hAnsi="Trebuchet MS;sans-serif"/>
          <w:i w:val="false"/>
          <w:caps w:val="false"/>
          <w:smallCaps w:val="false"/>
          <w:color w:val="FF0000"/>
          <w:spacing w:val="0"/>
          <w:sz w:val="36"/>
        </w:rPr>
        <w:t>МАЙСКИЙ КРЫМ 3 ДНЯ</w:t>
      </w:r>
    </w:p>
    <w:p>
      <w:pPr>
        <w:pStyle w:val="Normal"/>
        <w:jc w:val="center"/>
        <w:rPr>
          <w:color w:val="FF0000"/>
          <w:sz w:val="36"/>
        </w:rPr>
      </w:pPr>
      <w:r>
        <w:rPr/>
      </w:r>
    </w:p>
    <w:p>
      <w:pPr>
        <w:pStyle w:val="Normal"/>
        <w:jc w:val="center"/>
        <w:rPr>
          <w:b/>
          <w:b/>
          <w:sz w:val="18"/>
          <w:szCs w:val="18"/>
        </w:rPr>
      </w:pPr>
      <w:r>
        <w:rPr/>
      </w:r>
    </w:p>
    <w:p>
      <w:pPr>
        <w:pStyle w:val="Normal"/>
        <w:rPr/>
      </w:pPr>
      <w:r>
        <w:rPr/>
      </w:r>
    </w:p>
    <w:tbl>
      <w:tblPr>
        <w:tblW w:w="11112" w:type="dxa"/>
        <w:jc w:val="center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</w:tblPr>
      <w:tblGrid>
        <w:gridCol w:w="3603"/>
        <w:gridCol w:w="3724"/>
        <w:gridCol w:w="3785"/>
      </w:tblGrid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3"/>
              <w:spacing w:before="0" w:after="0"/>
              <w:ind w:left="0" w:right="0" w:hanging="0"/>
              <w:jc w:val="center"/>
              <w:rPr/>
            </w:pPr>
            <w:r>
              <w:rPr>
                <w:color w:val="B22222"/>
              </w:rPr>
              <w:t>Ялта-Никита-Массандра-Инкерман-Бахчисарай-Ливадия</w:t>
            </w:r>
            <w:r>
              <w:rPr/>
              <w:br/>
            </w:r>
            <w:r>
              <w:rPr>
                <w:color w:val="008000"/>
              </w:rPr>
              <w:t>02.05.2019-04.05.2019</w:t>
              <w:br/>
              <w:t>Отправление 01.05 в 16:00 из Краснодара</w:t>
              <w:br/>
              <w:t>Продолжительность тура:  3 дня/ 2 ночи 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>
                <w:rStyle w:val="Style9"/>
                <w:b/>
              </w:rPr>
              <w:t>ПРОГРАММА ТУРА:</w:t>
            </w:r>
          </w:p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/>
              <w:t> </w:t>
            </w:r>
          </w:p>
          <w:p>
            <w:pPr>
              <w:pStyle w:val="Style20"/>
              <w:spacing w:before="0" w:after="283"/>
              <w:jc w:val="left"/>
              <w:rPr/>
            </w:pPr>
            <w:r>
              <w:rPr>
                <w:rStyle w:val="Style9"/>
                <w:b/>
                <w:color w:val="B22222"/>
              </w:rPr>
              <w:t>01.05.19 </w:t>
            </w:r>
            <w:r>
              <w:rPr>
                <w:rStyle w:val="Style9"/>
                <w:b/>
              </w:rPr>
              <w:t>Выезд</w:t>
            </w:r>
          </w:p>
          <w:p>
            <w:pPr>
              <w:pStyle w:val="Style20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>
                <w:rStyle w:val="Style9"/>
                <w:b/>
              </w:rPr>
              <w:t>В 16:00 на автобусе в сопровождении экскурсовода туристы выезжают из Краснодара от Гипермаркета Магнит на ул.Дзержинского/ ул.Лузана.</w:t>
            </w:r>
          </w:p>
          <w:p>
            <w:pPr>
              <w:pStyle w:val="Style20"/>
              <w:numPr>
                <w:ilvl w:val="0"/>
                <w:numId w:val="1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 </w:t>
            </w:r>
            <w:r>
              <w:rPr/>
              <w:t>Переезд в Ялту по Крымскому мосту. (около 600 км.)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/>
              <w:t> </w:t>
            </w:r>
          </w:p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>
                <w:rStyle w:val="Style9"/>
                <w:b/>
                <w:color w:val="B22222"/>
              </w:rPr>
              <w:t>02.05.19</w:t>
            </w:r>
            <w:r>
              <w:rPr>
                <w:rStyle w:val="Style9"/>
                <w:b/>
              </w:rPr>
              <w:t> Дворцы и парки Крыма (Никита – Массандра - Ялта)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>
                <w:rStyle w:val="Style9"/>
                <w:b/>
              </w:rPr>
              <w:t>1 день Прибытие в Ялту. Размещение в пансионате «Малахит». Отдых. 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Завтрак в пансионате 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Отправление на экскурсию в п.Никита в Никитский ботанический сад </w:t>
            </w:r>
            <w:r>
              <w:rPr/>
              <w:t>– удивительный уголок Крыма. В 2017 году сад отпраздновал свой 205-летний юбилей. Это одновременно и научное учреждение, и лучший в Крыму парк. Экскурсия по саду даёт возможность изучить растения почти всех южнобережных парков.  В это время года в НБС проходит ежегодная выставка Парад тюльпанов. Современная коллекция тюльпанов насчитывает 300 сортов и 900 гибридных форм. 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Переезд в п.Массандра,</w:t>
            </w:r>
            <w:r>
              <w:rPr/>
              <w:t> где Вас ждёт прогулка по Массандровскому парку и экскурсия во дворец Александра III  - один из интереснейших памятников архитектуры 19 века, построенный в стиле Людовика XIII – Массандровский дворец. Знакомство с архитектурой и внутренним убранством дворца.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Возвращение в пансионат. Ужин в пансионате.  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Обзорная пешеходная прогулка по набережной Ялты. </w:t>
            </w:r>
            <w:r>
              <w:rPr/>
              <w:t>Прогулка к набережной сопровождается осмотром Дворца Эмира Бухарского, Приморского парка, шхуны «Эспаньола», Пушкинской улицы. Набережная Ялты - это самое популярное и самое красивое место для прогулок в Ялте. На набережной Вы осмотрите древнегреческое судно - кафе, памятники М.Горькому, В.Ленину, А.Чехову, М.Пуговкину, Н.Краснову, Даме с собачкой, увидите сохранившиеся уникальные купальни Роффе. Вечером Набережная Ялты становится еще прекрасней, когда вокруг сверкает море разноцветных огней, слышится музыка, а веселье  льется из прибрежных ресторанчиков.</w:t>
            </w:r>
          </w:p>
          <w:p>
            <w:pPr>
              <w:pStyle w:val="Style20"/>
              <w:numPr>
                <w:ilvl w:val="0"/>
                <w:numId w:val="2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Возможен подъём по Канатной дороге «Ялта-Горка» на холм Дарсан</w:t>
            </w:r>
          </w:p>
        </w:tc>
      </w:tr>
      <w:tr>
        <w:trPr/>
        <w:tc>
          <w:tcPr>
            <w:tcW w:w="3603" w:type="dxa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2085975" cy="1390650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  <w:tc>
          <w:tcPr>
            <w:tcW w:w="3724" w:type="dxa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2162175" cy="1390650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  <w:tc>
          <w:tcPr>
            <w:tcW w:w="3785" w:type="dxa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2019300" cy="1390650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/>
              <w:t> </w:t>
            </w:r>
          </w:p>
          <w:p>
            <w:pPr>
              <w:pStyle w:val="Style20"/>
              <w:spacing w:before="0" w:after="283"/>
              <w:jc w:val="left"/>
              <w:rPr/>
            </w:pPr>
            <w:r>
              <w:rPr>
                <w:rStyle w:val="Style9"/>
                <w:b/>
                <w:color w:val="B22222"/>
              </w:rPr>
              <w:t>03.05.19</w:t>
            </w:r>
            <w:r>
              <w:rPr>
                <w:rStyle w:val="Style9"/>
                <w:b/>
              </w:rPr>
              <w:t> Дорогой тысячелетий (Инкерман - Бахчисарай)</w:t>
            </w:r>
          </w:p>
          <w:p>
            <w:pPr>
              <w:pStyle w:val="Style20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>
                <w:rStyle w:val="Style9"/>
                <w:b/>
              </w:rPr>
              <w:t>2 день Завтрак в пансионате. Наше путешествие пролегает по живописной трассе Ял</w:t>
            </w:r>
            <w:r>
              <w:rPr/>
              <w:t>та - </w:t>
            </w:r>
            <w:r>
              <w:rPr>
                <w:rStyle w:val="Style9"/>
                <w:b/>
              </w:rPr>
              <w:t>Севастополь,</w:t>
            </w:r>
            <w:r>
              <w:rPr/>
              <w:t> слева - завораживающее море, справа – горы, покрытые вечнозелёным лесом. C трассы из окон автобуса Вы увидите стоящий на самом обрыве Красной скалы Форосский храм. С этого места, кажется, что храм, возносясь над зеленым ковром леса, парит в облаках над бескрайними просторами моря. Далее по дороге Вас ждёт встреча с горой Кошка, Горой Дракон, перевалом Чертова Лестница. Отсюда открывается великолепная панорама на Ласпинскую бухту. Проедите город русской славы Севастополь. </w:t>
            </w:r>
          </w:p>
          <w:p>
            <w:pPr>
              <w:pStyle w:val="Style20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Экскурсия в г.Инкерман </w:t>
            </w:r>
            <w:r>
              <w:rPr/>
              <w:t>– знаменитый пригород Севастополя, здесь добывают инкерманский камень – плотный белый известняк, который используют для облицовки зданий. Добывали этот камень с незапамятных времён, поэтому в скалах образовалось множество катакомб и пещер. Именно здесь, в Монастырской скале, в средние века возник пещерный монастырь. Инкерманский пещерный монастырь является самым древним среди пещерных обителей, находящихся в Крыму. В Монастырской скале высечены основные его помещения, а наверху – на плато сохранились развалины древней крепости Каламиты. Пещерный монастырский комплекс включает в себя три средневековых пещерных храма, церковь, монастырский дво</w:t>
            </w:r>
          </w:p>
          <w:p>
            <w:pPr>
              <w:pStyle w:val="Style20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.  </w:t>
            </w:r>
          </w:p>
          <w:p>
            <w:pPr>
              <w:pStyle w:val="Style20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рик, братские помещения и т.дПосещение Инкерманского завода марочных вин - крупное винодельческое предприятие, создано в 1961 году на древней Севастопольской земле на базе виноградных насаждений западных долин Крыма, подземных каменоломен и классических винодельческих традиций. Вы познакомитесь с историей завода, а специалисты, много лет отдавшие виноделию, раскроют секреты производства вина, поделятся уникальными практическими знаниями. И, конечно же, обязательным пунктом программы станет дегустация, во время которой вы сможете в полной мере оценить вкус и качество натуральных вин INKERMAN, рожденных в уникальных климатических условиях Крыма.​</w:t>
            </w:r>
          </w:p>
          <w:p>
            <w:pPr>
              <w:pStyle w:val="Style20"/>
              <w:numPr>
                <w:ilvl w:val="0"/>
                <w:numId w:val="3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Переезд в г.Бахчисарай</w:t>
            </w:r>
            <w:r>
              <w:rPr/>
              <w:t> «Дворец в садах». Свободное время для обеда за доп.плату.  Экскурсия в Ханский дворец в Бахчисарае – бывшую резиденцию крымских ханов. Памятник восточной архитектуры, истории и культуры общемирового значения, единственный в мире образец крымскотатарской дворцовой архитектуры. Во время экскурсии по нему будет возможность, познакомится со знаменитым фонтаном слёз, воспетым великим Пушкиным в поэме «Бахчисарайский фонтан», заглянуть в гарем хана, полюбоваться множеством внутренних двориков, беседок и фонтанов. </w:t>
            </w:r>
          </w:p>
          <w:p>
            <w:pPr>
              <w:pStyle w:val="Style20"/>
              <w:jc w:val="left"/>
              <w:rPr/>
            </w:pPr>
            <w:r>
              <w:rPr>
                <w:rStyle w:val="Style9"/>
                <w:b/>
              </w:rPr>
              <w:t>Завершением этого экскурсионного дня будет Ужин и</w:t>
            </w:r>
            <w:r>
              <w:rPr/>
              <w:t>з блюд национальной крымско-татарской кухни. Здесь можно продегустировать продукцию Бахчисарайского винзавода  Возвращение в Ялту.</w:t>
            </w:r>
          </w:p>
        </w:tc>
      </w:tr>
      <w:tr>
        <w:trPr/>
        <w:tc>
          <w:tcPr>
            <w:tcW w:w="3603" w:type="dxa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1809750" cy="1504950"/>
                  <wp:effectExtent l="0" t="0" r="0" b="0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  <w:tc>
          <w:tcPr>
            <w:tcW w:w="3724" w:type="dxa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2143125" cy="1447800"/>
                  <wp:effectExtent l="0" t="0" r="0" b="0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  <w:tc>
          <w:tcPr>
            <w:tcW w:w="3785" w:type="dxa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center"/>
              <w:rPr/>
            </w:pPr>
            <w:r>
              <w:rPr/>
              <w:drawing>
                <wp:inline distT="0" distB="95250" distL="0" distR="142875">
                  <wp:extent cx="2190750" cy="1457325"/>
                  <wp:effectExtent l="0" t="0" r="0" b="0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>
                <w:rStyle w:val="Style9"/>
                <w:b/>
              </w:rPr>
              <w:t>04.05.19 Императорский  Крым (Ливадия)</w:t>
            </w:r>
          </w:p>
          <w:p>
            <w:pPr>
              <w:pStyle w:val="Style20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>
                <w:rStyle w:val="Style9"/>
                <w:b/>
              </w:rPr>
              <w:t>3 день Завтрак в пансионате. Освобождение номеров.</w:t>
            </w:r>
          </w:p>
          <w:p>
            <w:pPr>
              <w:pStyle w:val="Style20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Экскурсия в Белый императорский дворец в п.Ливадии, </w:t>
            </w:r>
            <w:r>
              <w:rPr/>
              <w:t>который  является уникальной жемчужиной Южного берега Крыма, последнее сооружение, воздвигнутое для семейства Романовых. В феврале 1945 года здесь проходили заседания Крымской (Ялтинской) конференции "Большой тройки". Во время экскурсии Вас ждёт осмотр Ливадийского парка, мест съёмок кинофильма «Собака на сене», начало Царской тропы, Свитского корпуса и дома министра Фредерикса, памятники Большой Тройке и Александру III. Посещение Дворцовой Крестовоздвиженской церкви - созданной в византийском стиле. Панихида по почившему государю Александру III и присяга нового русского императора Николая II состоялись в дворцовом храме.  </w:t>
            </w:r>
          </w:p>
          <w:p>
            <w:pPr>
              <w:pStyle w:val="Style20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9"/>
                <w:b/>
              </w:rPr>
              <w:t>В пути обзорная экскурсия, которая </w:t>
            </w:r>
            <w:r>
              <w:rPr/>
              <w:t>познакомит Вас с посёлками Большой Ялты (Массандрой, Никитой, Гурзуфом, Партенитом), из окон автобуса Вы увидите артековский костёр. Мы проедем г.Алушту, горы Чатыр-Даг и Демерджи Далее наш автобус проедет по горно-троллейбусной трассе, занесённой в Красную книгу, из окон автобуса увидите памятник М.И.Кутузову и памятник троллейбусу, через Ангарский перевал (высота 752 м над уровнем моря). Вы сможете наблюдать живописные панорамы на Крымские горы. Познакомитесь со столицей Крыма - городом Симферополь и одним из древнейших городов Крыма – Белогорском. Услышите рассказ о первой столице Крымского ханства городе Старый Крым и посёлке  Коктебель. А заканчивается наше путешествие по Крымскому полуострову осмотром из окон автобуса вечных городов планеты Феодосии 25 веков и Керчи 26 веков. </w:t>
            </w:r>
          </w:p>
          <w:p>
            <w:pPr>
              <w:pStyle w:val="Style20"/>
              <w:numPr>
                <w:ilvl w:val="0"/>
                <w:numId w:val="4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>
                <w:rStyle w:val="Style6"/>
              </w:rPr>
              <w:t>Переезд в Краснодар. Ориентировочное время прибытия до 24.00</w:t>
            </w:r>
            <w:r>
              <w:rPr/>
              <w:t> 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>
                <w:rStyle w:val="Style9"/>
                <w:b/>
              </w:rPr>
              <w:t>Проживание в пан.«Малахит» г.Ялта</w:t>
            </w:r>
            <w:r>
              <w:rPr/>
              <w:t> – расположен в непосредственной близости от центра и городской набережной города Ялты, в реликтовой зелени бывшего княжеского имения. В пансионате имеется ресторан, тренажерный зал, массажный кабинет. К Вашим услугам двухместные однокомнатные стандартные номера и двухкомнатные полулюксы со всеми удобствами, в каждом номере телевизор, холодильник, набор посуды, электрочайник, вентилятор, полотенца, туалетный набор, раздельные кровати. Люкс – двухкомнатный номер, двуспальная кровать, кондиционер, телевизор, холодильник, набор посуды, электрочайник, полотенца, туалетный набор. Бесплатный WiFi в каждом номере..</w:t>
            </w:r>
          </w:p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/>
              <w:t> </w:t>
            </w:r>
          </w:p>
          <w:tbl>
            <w:tblPr>
              <w:tblW w:w="11112" w:type="dxa"/>
              <w:jc w:val="center"/>
              <w:tblInd w:w="0" w:type="dxa"/>
              <w:tblBorders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978"/>
              <w:gridCol w:w="1392"/>
              <w:gridCol w:w="1698"/>
              <w:gridCol w:w="1585"/>
              <w:gridCol w:w="2344"/>
              <w:gridCol w:w="2115"/>
            </w:tblGrid>
            <w:tr>
              <w:trPr/>
              <w:tc>
                <w:tcPr>
                  <w:tcW w:w="197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Пансионат «Малахит»,</w:t>
                  </w:r>
                </w:p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г. Ялта </w:t>
                  </w:r>
                </w:p>
              </w:tc>
              <w:tc>
                <w:tcPr>
                  <w:tcW w:w="139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2-х местный стандарт</w:t>
                  </w:r>
                </w:p>
              </w:tc>
              <w:tc>
                <w:tcPr>
                  <w:tcW w:w="169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2-х комнатный полулюкс</w:t>
                  </w:r>
                </w:p>
              </w:tc>
              <w:tc>
                <w:tcPr>
                  <w:tcW w:w="1585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Доп.место в полулюксе</w:t>
                  </w:r>
                </w:p>
              </w:tc>
              <w:tc>
                <w:tcPr>
                  <w:tcW w:w="234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Размещение 1-го человека в 2-х местном номере.</w:t>
                  </w:r>
                </w:p>
              </w:tc>
              <w:tc>
                <w:tcPr>
                  <w:tcW w:w="2115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Двухкомнатный ЛЮКС</w:t>
                  </w:r>
                </w:p>
              </w:tc>
            </w:tr>
            <w:tr>
              <w:trPr/>
              <w:tc>
                <w:tcPr>
                  <w:tcW w:w="197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Стоимость с человека в рублях за тур</w:t>
                  </w:r>
                </w:p>
              </w:tc>
              <w:tc>
                <w:tcPr>
                  <w:tcW w:w="1392" w:type="dxa"/>
                  <w:tcBorders/>
                  <w:shd w:fill="auto" w:val="clear"/>
                  <w:vAlign w:val="center"/>
                </w:tcPr>
                <w:p>
                  <w:pPr>
                    <w:pStyle w:val="4"/>
                    <w:spacing w:before="0" w:after="19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  <w:color w:val="FF0000"/>
                    </w:rPr>
                    <w:t>9 000</w:t>
                  </w:r>
                </w:p>
              </w:tc>
              <w:tc>
                <w:tcPr>
                  <w:tcW w:w="1698" w:type="dxa"/>
                  <w:tcBorders/>
                  <w:shd w:fill="auto" w:val="clear"/>
                  <w:vAlign w:val="center"/>
                </w:tcPr>
                <w:p>
                  <w:pPr>
                    <w:pStyle w:val="4"/>
                    <w:spacing w:before="0" w:after="19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  <w:color w:val="FF0000"/>
                    </w:rPr>
                    <w:t>9 500</w:t>
                  </w:r>
                </w:p>
              </w:tc>
              <w:tc>
                <w:tcPr>
                  <w:tcW w:w="1585" w:type="dxa"/>
                  <w:tcBorders/>
                  <w:shd w:fill="auto" w:val="clear"/>
                  <w:vAlign w:val="center"/>
                </w:tcPr>
                <w:p>
                  <w:pPr>
                    <w:pStyle w:val="4"/>
                    <w:spacing w:before="0" w:after="19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  <w:color w:val="FF0000"/>
                    </w:rPr>
                    <w:t>9 000</w:t>
                  </w:r>
                </w:p>
              </w:tc>
              <w:tc>
                <w:tcPr>
                  <w:tcW w:w="2344" w:type="dxa"/>
                  <w:tcBorders/>
                  <w:shd w:fill="auto" w:val="clear"/>
                  <w:vAlign w:val="center"/>
                </w:tcPr>
                <w:p>
                  <w:pPr>
                    <w:pStyle w:val="4"/>
                    <w:spacing w:before="0" w:after="19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  <w:color w:val="FF0000"/>
                    </w:rPr>
                    <w:t>10 500</w:t>
                  </w:r>
                </w:p>
              </w:tc>
              <w:tc>
                <w:tcPr>
                  <w:tcW w:w="2115" w:type="dxa"/>
                  <w:tcBorders/>
                  <w:shd w:fill="auto" w:val="clear"/>
                  <w:vAlign w:val="center"/>
                </w:tcPr>
                <w:p>
                  <w:pPr>
                    <w:pStyle w:val="4"/>
                    <w:spacing w:before="0" w:after="19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  <w:color w:val="FF0000"/>
                    </w:rPr>
                    <w:t>10 500</w:t>
                  </w:r>
                </w:p>
              </w:tc>
            </w:tr>
          </w:tbl>
          <w:p>
            <w:pPr>
              <w:pStyle w:val="3"/>
              <w:spacing w:before="0" w:after="0"/>
              <w:ind w:left="0" w:right="0" w:hanging="0"/>
              <w:jc w:val="center"/>
              <w:rPr>
                <w:color w:val="FF0000"/>
              </w:rPr>
            </w:pPr>
            <w:r>
              <w:rPr>
                <w:color w:val="FF0000"/>
              </w:rPr>
              <w:t>Детям до 12 лет скидка 10%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jc w:val="left"/>
              <w:rPr/>
            </w:pPr>
            <w:r>
              <w:rPr>
                <w:rStyle w:val="Style9"/>
                <w:b/>
                <w:color w:val="B22222"/>
              </w:rPr>
              <w:t>В стоимость входит:</w:t>
            </w:r>
            <w:r>
              <w:rPr/>
              <w:t> Проезд на автобусе; Проживание; Питание (согласно программы); Экскурсионное обслуживание; Страховка.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>
                <w:rStyle w:val="Style9"/>
                <w:b/>
              </w:rPr>
              <w:t>Дополнительно оплачивается:</w:t>
            </w:r>
          </w:p>
          <w:tbl>
            <w:tblPr>
              <w:tblW w:w="9240" w:type="dxa"/>
              <w:jc w:val="left"/>
              <w:tblInd w:w="0" w:type="dxa"/>
              <w:tblBorders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68"/>
              <w:gridCol w:w="1089"/>
              <w:gridCol w:w="924"/>
              <w:gridCol w:w="1407"/>
              <w:gridCol w:w="1552"/>
            </w:tblGrid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>
                      <w:rStyle w:val="Style9"/>
                      <w:b/>
                    </w:rPr>
                    <w:t>Входные билеты: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Взрослый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Детский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Пенсионный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>
                      <w:rStyle w:val="Style9"/>
                      <w:b/>
                    </w:rPr>
                    <w:t>Студенческий</w:t>
                  </w:r>
                </w:p>
              </w:tc>
            </w:tr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/>
                    <w:t>Никитский Ботанический сад              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400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200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250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250</w:t>
                  </w:r>
                </w:p>
              </w:tc>
            </w:tr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/>
                    <w:t>Массандровский  дворец                            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350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70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200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200</w:t>
                  </w:r>
                </w:p>
              </w:tc>
            </w:tr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/>
                    <w:t>Инкерманский  монастырь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100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50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100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100</w:t>
                  </w:r>
                </w:p>
              </w:tc>
            </w:tr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/>
                    <w:t>Дегустация+экскурсия в Инкермане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700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-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700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700</w:t>
                  </w:r>
                </w:p>
              </w:tc>
            </w:tr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/>
                    <w:t>Ханский дворец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300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50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200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150</w:t>
                  </w:r>
                </w:p>
              </w:tc>
            </w:tr>
            <w:tr>
              <w:trPr/>
              <w:tc>
                <w:tcPr>
                  <w:tcW w:w="4268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rPr/>
                  </w:pPr>
                  <w:r>
                    <w:rPr/>
                    <w:t>Ливадийский дворец                                  </w:t>
                  </w:r>
                </w:p>
              </w:tc>
              <w:tc>
                <w:tcPr>
                  <w:tcW w:w="1089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400</w:t>
                  </w:r>
                </w:p>
              </w:tc>
              <w:tc>
                <w:tcPr>
                  <w:tcW w:w="924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100</w:t>
                  </w:r>
                </w:p>
              </w:tc>
              <w:tc>
                <w:tcPr>
                  <w:tcW w:w="1407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center"/>
                    <w:rPr/>
                  </w:pPr>
                  <w:r>
                    <w:rPr/>
                    <w:t>250</w:t>
                  </w:r>
                </w:p>
              </w:tc>
              <w:tc>
                <w:tcPr>
                  <w:tcW w:w="1552" w:type="dxa"/>
                  <w:tcBorders/>
                  <w:shd w:fill="auto" w:val="clear"/>
                  <w:vAlign w:val="center"/>
                </w:tcPr>
                <w:p>
                  <w:pPr>
                    <w:pStyle w:val="Style20"/>
                    <w:spacing w:before="0" w:after="105"/>
                    <w:ind w:left="0" w:right="0" w:hanging="0"/>
                    <w:jc w:val="left"/>
                    <w:rPr/>
                  </w:pPr>
                  <w:r>
                    <w:rPr/>
                    <w:t>250</w:t>
                  </w:r>
                </w:p>
              </w:tc>
            </w:tr>
          </w:tbl>
          <w:p/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jc w:val="left"/>
              <w:rPr/>
            </w:pPr>
            <w:r>
              <w:rPr/>
              <w:t>Необходимые документы:</w:t>
            </w:r>
          </w:p>
          <w:p>
            <w:pPr>
              <w:pStyle w:val="Style20"/>
              <w:numPr>
                <w:ilvl w:val="0"/>
                <w:numId w:val="5"/>
              </w:numPr>
              <w:pBdr/>
              <w:tabs>
                <w:tab w:val="left" w:pos="0" w:leader="none"/>
              </w:tabs>
              <w:spacing w:before="0" w:after="0"/>
              <w:ind w:left="0" w:right="0" w:hanging="283"/>
              <w:jc w:val="left"/>
              <w:rPr/>
            </w:pPr>
            <w:r>
              <w:rPr/>
              <w:t>Общегражданский российский паспорт;</w:t>
            </w:r>
          </w:p>
          <w:p>
            <w:pPr>
              <w:pStyle w:val="Style20"/>
              <w:numPr>
                <w:ilvl w:val="0"/>
                <w:numId w:val="5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Детям до 14 лет свидетельство о рождении с вкладышем о гражданстве;</w:t>
            </w:r>
          </w:p>
          <w:p>
            <w:pPr>
              <w:pStyle w:val="Style20"/>
              <w:numPr>
                <w:ilvl w:val="0"/>
                <w:numId w:val="5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Детям старше 14 лет паспорт </w:t>
            </w:r>
          </w:p>
          <w:p>
            <w:pPr>
              <w:pStyle w:val="Style20"/>
              <w:numPr>
                <w:ilvl w:val="0"/>
                <w:numId w:val="5"/>
              </w:numPr>
              <w:pBdr/>
              <w:tabs>
                <w:tab w:val="left" w:pos="0" w:leader="none"/>
              </w:tabs>
              <w:spacing w:before="0" w:after="0"/>
              <w:ind w:left="0" w:hanging="283"/>
              <w:jc w:val="left"/>
              <w:rPr/>
            </w:pPr>
            <w:r>
              <w:rPr/>
              <w:t>Пенсионное или инвалидное удостоверение, студенческий билет, удостоверение ветерана или участника боевых действий</w:t>
            </w:r>
          </w:p>
        </w:tc>
      </w:tr>
      <w:tr>
        <w:trPr/>
        <w:tc>
          <w:tcPr>
            <w:tcW w:w="11112" w:type="dxa"/>
            <w:gridSpan w:val="3"/>
            <w:tcBorders/>
            <w:shd w:fill="auto" w:val="clear"/>
            <w:vAlign w:val="center"/>
          </w:tcPr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 </w:t>
            </w:r>
          </w:p>
          <w:p>
            <w:pPr>
              <w:pStyle w:val="Style20"/>
              <w:spacing w:before="0" w:after="105"/>
              <w:ind w:left="0" w:right="0" w:hanging="0"/>
              <w:rPr/>
            </w:pPr>
            <w:r>
              <w:rPr/>
              <w:t>Фирма оставляет за собой право на внесение изменений в порядок проживания  и время  посещения экскурсионных объектов или на замену на равнозначные,  сохраняя при этом программу в целом.* Фирма не несет ответственность за изменения стоимости дополнительных плат по маршруту!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8"/>
      <w:footerReference w:type="default" r:id="rId9"/>
      <w:type w:val="nextPage"/>
      <w:pgSz w:w="11906" w:h="16838"/>
      <w:pgMar w:left="397" w:right="397" w:header="421" w:top="478" w:footer="709" w:bottom="766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Book Antiqua">
    <w:charset w:val="cc"/>
    <w:family w:val="roman"/>
    <w:pitch w:val="variable"/>
  </w:font>
  <w:font w:name="Verdana">
    <w:charset w:val="cc"/>
    <w:family w:val="roman"/>
    <w:pitch w:val="variable"/>
  </w:font>
  <w:font w:name="Arial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ahoma">
    <w:charset w:val="cc"/>
    <w:family w:val="roman"/>
    <w:pitch w:val="variable"/>
  </w:font>
  <w:font w:name="Trebuchet MS">
    <w:altName w:val="sans-serif"/>
    <w:charset w:val="cc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349" w:type="dxa"/>
      <w:jc w:val="left"/>
      <w:tblInd w:w="388" w:type="dxa"/>
      <w:tblBorders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702"/>
      <w:gridCol w:w="8646"/>
    </w:tblGrid>
    <w:tr>
      <w:trPr>
        <w:trHeight w:val="694" w:hRule="atLeast"/>
      </w:trPr>
      <w:tc>
        <w:tcPr>
          <w:tcW w:w="1702" w:type="dxa"/>
          <w:tcBorders/>
          <w:shd w:fill="auto" w:val="clear"/>
        </w:tcPr>
        <w:p>
          <w:pPr>
            <w:pStyle w:val="Normal"/>
            <w:rPr>
              <w:rFonts w:ascii="Arial" w:hAnsi="Arial" w:cs="Arial"/>
              <w:b/>
              <w:b/>
              <w:bCs/>
              <w:color w:val="000000"/>
              <w:sz w:val="28"/>
              <w:szCs w:val="28"/>
            </w:rPr>
          </w:pPr>
          <w:r>
            <w:rPr/>
            <w:drawing>
              <wp:inline distT="0" distB="0" distL="0" distR="7620">
                <wp:extent cx="944880" cy="685800"/>
                <wp:effectExtent l="0" t="0" r="0" b="0"/>
                <wp:docPr id="7" name="Рисунок 2" descr="MAIL_турагентство_ANEXTOUR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2" descr="MAIL_турагентство_ANEXTOUR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/>
          <w:shd w:fill="auto" w:val="clear"/>
        </w:tcPr>
        <w:p>
          <w:pPr>
            <w:pStyle w:val="Normal"/>
            <w:jc w:val="center"/>
            <w:rPr>
              <w:rFonts w:ascii="Arial" w:hAnsi="Arial" w:cs="Arial"/>
              <w:b/>
              <w:b/>
              <w:bCs/>
              <w:color w:val="003399"/>
              <w:sz w:val="20"/>
              <w:szCs w:val="20"/>
            </w:rPr>
          </w:pPr>
          <w:r>
            <w:rPr>
              <w:rFonts w:cs="Arial" w:ascii="Arial" w:hAnsi="Arial"/>
              <w:b/>
              <w:bCs/>
              <w:color w:val="003399"/>
              <w:sz w:val="20"/>
              <w:szCs w:val="20"/>
            </w:rPr>
            <w:t>ООО «Альянс ТУРЫ.ру Краснодар"</w:t>
          </w:r>
        </w:p>
        <w:tbl>
          <w:tblPr>
            <w:tblW w:w="8146" w:type="dxa"/>
            <w:jc w:val="left"/>
            <w:tblInd w:w="0" w:type="dxa"/>
            <w:tblBorders/>
            <w:tblCellMar>
              <w:top w:w="0" w:type="dxa"/>
              <w:left w:w="108" w:type="dxa"/>
              <w:bottom w:w="0" w:type="dxa"/>
              <w:right w:w="108" w:type="dxa"/>
            </w:tblCellMar>
            <w:tblLook w:firstRow="1" w:noVBand="1" w:lastRow="0" w:firstColumn="1" w:lastColumn="0" w:noHBand="0" w:val="04a0"/>
          </w:tblPr>
          <w:tblGrid>
            <w:gridCol w:w="8146"/>
          </w:tblGrid>
          <w:tr>
            <w:trPr>
              <w:trHeight w:val="475" w:hRule="atLeast"/>
            </w:trPr>
            <w:tc>
              <w:tcPr>
                <w:tcW w:w="8146" w:type="dxa"/>
                <w:tcBorders/>
                <w:shd w:fill="auto" w:val="clear"/>
              </w:tcPr>
              <w:p>
                <w:pPr>
                  <w:pStyle w:val="Normal"/>
                  <w:jc w:val="center"/>
                  <w:rPr>
                    <w:rFonts w:ascii="Arial" w:hAnsi="Arial" w:cs="Arial"/>
                    <w:b/>
                    <w:b/>
                    <w:bCs/>
                    <w:color w:val="003399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</w:rPr>
                  <w:t>г. Краснодар, ул. Северная, 286, оф.206</w:t>
                </w:r>
              </w:p>
              <w:p>
                <w:pPr>
                  <w:pStyle w:val="Normal"/>
                  <w:jc w:val="center"/>
                  <w:rPr>
                    <w:rFonts w:ascii="Arial" w:hAnsi="Arial" w:cs="Arial"/>
                    <w:b/>
                    <w:b/>
                    <w:bCs/>
                    <w:color w:val="003399"/>
                    <w:sz w:val="20"/>
                    <w:szCs w:val="20"/>
                  </w:rPr>
                </w:pP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</w:rPr>
                  <w:t>тел./факс +7 (861) 2</w:t>
                </w: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  <w:lang w:val="en-US"/>
                  </w:rPr>
                  <w:t> </w:t>
                </w:r>
                <w:r>
                  <w:rPr>
                    <w:rFonts w:cs="Arial" w:ascii="Arial" w:hAnsi="Arial"/>
                    <w:b/>
                    <w:bCs/>
                    <w:color w:val="003399"/>
                    <w:sz w:val="20"/>
                    <w:szCs w:val="20"/>
                  </w:rPr>
                  <w:t>168 168, т.м.+7 (918) 677 87 87, т.м. +7 (988) 243 0 243</w:t>
                </w:r>
              </w:p>
            </w:tc>
          </w:tr>
        </w:tbl>
        <w:p>
          <w:pPr>
            <w:pStyle w:val="Normal"/>
            <w:jc w:val="center"/>
            <w:rPr/>
          </w:pPr>
          <w:hyperlink r:id="rId2"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www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.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anex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-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krasnodar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.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ru</w:t>
            </w:r>
          </w:hyperlink>
          <w:r>
            <w:rPr>
              <w:rFonts w:cs="Arial" w:ascii="Arial" w:hAnsi="Arial"/>
              <w:bCs/>
              <w:color w:val="003399"/>
              <w:sz w:val="20"/>
              <w:szCs w:val="20"/>
            </w:rPr>
            <w:t xml:space="preserve">     </w:t>
          </w:r>
          <w:r>
            <w:rPr>
              <w:rFonts w:cs="Arial" w:ascii="Arial" w:hAnsi="Arial"/>
              <w:b/>
              <w:bCs/>
              <w:color w:val="003399"/>
              <w:sz w:val="20"/>
              <w:szCs w:val="20"/>
              <w:u w:val="single"/>
            </w:rPr>
            <w:t>отдыхатьхорошо.рф</w:t>
          </w:r>
        </w:p>
        <w:p>
          <w:pPr>
            <w:pStyle w:val="Normal"/>
            <w:jc w:val="center"/>
            <w:rPr/>
          </w:pPr>
          <w:hyperlink r:id="rId3"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tury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-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krasnodar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@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yandex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</w:rPr>
              <w:t>.</w:t>
            </w:r>
            <w:r>
              <w:rPr>
                <w:rStyle w:val="ListLabel34"/>
                <w:rFonts w:cs="Arial" w:ascii="Arial" w:hAnsi="Arial"/>
                <w:b/>
                <w:bCs/>
                <w:color w:val="003399"/>
                <w:sz w:val="20"/>
                <w:szCs w:val="20"/>
                <w:u w:val="single"/>
                <w:lang w:val="en-US"/>
              </w:rPr>
              <w:t>ru</w:t>
            </w:r>
          </w:hyperlink>
        </w:p>
      </w:tc>
    </w:tr>
  </w:tbl>
  <w:p>
    <w:pPr>
      <w:pStyle w:val="Style1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2a5468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qFormat/>
    <w:pPr>
      <w:keepNext w:val="true"/>
      <w:tabs>
        <w:tab w:val="left" w:pos="6780" w:leader="none"/>
      </w:tabs>
      <w:jc w:val="center"/>
      <w:outlineLvl w:val="0"/>
    </w:pPr>
    <w:rPr>
      <w:rFonts w:ascii="Book Antiqua" w:hAnsi="Book Antiqua"/>
      <w:b/>
      <w:bCs/>
      <w:i/>
      <w:iCs/>
      <w:color w:val="800080"/>
      <w:sz w:val="72"/>
    </w:rPr>
  </w:style>
  <w:style w:type="paragraph" w:styleId="2">
    <w:name w:val="Heading 2"/>
    <w:basedOn w:val="Normal"/>
    <w:qFormat/>
    <w:pPr>
      <w:keepNext w:val="true"/>
      <w:tabs>
        <w:tab w:val="left" w:pos="6780" w:leader="none"/>
      </w:tabs>
      <w:ind w:left="900" w:hanging="900"/>
      <w:jc w:val="both"/>
      <w:outlineLvl w:val="1"/>
    </w:pPr>
    <w:rPr>
      <w:sz w:val="28"/>
    </w:rPr>
  </w:style>
  <w:style w:type="paragraph" w:styleId="3">
    <w:name w:val="Heading 3"/>
    <w:basedOn w:val="Normal"/>
    <w:qFormat/>
    <w:pPr>
      <w:keepNext w:val="true"/>
      <w:outlineLvl w:val="2"/>
    </w:pPr>
    <w:rPr>
      <w:b/>
      <w:color w:val="008000"/>
      <w:sz w:val="22"/>
    </w:rPr>
  </w:style>
  <w:style w:type="paragraph" w:styleId="4">
    <w:name w:val="Heading 4"/>
    <w:basedOn w:val="Normal"/>
    <w:qFormat/>
    <w:pPr>
      <w:keepNext w:val="true"/>
      <w:tabs>
        <w:tab w:val="left" w:pos="6780" w:leader="none"/>
      </w:tabs>
      <w:ind w:left="900" w:hanging="900"/>
      <w:jc w:val="center"/>
      <w:outlineLvl w:val="3"/>
    </w:pPr>
    <w:rPr>
      <w:b/>
      <w:bCs/>
      <w:i/>
      <w:iCs/>
      <w:color w:val="800080"/>
      <w:sz w:val="2"/>
    </w:rPr>
  </w:style>
  <w:style w:type="paragraph" w:styleId="5">
    <w:name w:val="Heading 5"/>
    <w:basedOn w:val="Normal"/>
    <w:qFormat/>
    <w:pPr>
      <w:keepNext w:val="true"/>
      <w:tabs>
        <w:tab w:val="left" w:pos="6780" w:leader="none"/>
      </w:tabs>
      <w:ind w:left="900" w:hanging="900"/>
      <w:jc w:val="center"/>
      <w:outlineLvl w:val="4"/>
    </w:pPr>
    <w:rPr>
      <w:sz w:val="48"/>
    </w:rPr>
  </w:style>
  <w:style w:type="paragraph" w:styleId="6">
    <w:name w:val="Heading 6"/>
    <w:basedOn w:val="Normal"/>
    <w:qFormat/>
    <w:pPr>
      <w:keepNext w:val="true"/>
      <w:tabs>
        <w:tab w:val="left" w:pos="0" w:leader="none"/>
      </w:tabs>
      <w:jc w:val="both"/>
      <w:outlineLvl w:val="5"/>
    </w:pPr>
    <w:rPr>
      <w:sz w:val="28"/>
    </w:rPr>
  </w:style>
  <w:style w:type="paragraph" w:styleId="7">
    <w:name w:val="Heading 7"/>
    <w:basedOn w:val="Normal"/>
    <w:qFormat/>
    <w:pPr>
      <w:keepNext w:val="true"/>
      <w:jc w:val="center"/>
      <w:outlineLvl w:val="6"/>
    </w:pPr>
    <w:rPr>
      <w:bCs/>
      <w:color w:val="000000"/>
      <w:sz w:val="36"/>
    </w:rPr>
  </w:style>
  <w:style w:type="paragraph" w:styleId="8">
    <w:name w:val="Heading 8"/>
    <w:basedOn w:val="Normal"/>
    <w:qFormat/>
    <w:pPr>
      <w:keepNext w:val="true"/>
      <w:outlineLvl w:val="7"/>
    </w:pPr>
    <w:rPr>
      <w:b/>
      <w:color w:val="008000"/>
      <w:sz w:val="28"/>
    </w:rPr>
  </w:style>
  <w:style w:type="paragraph" w:styleId="9">
    <w:name w:val="Heading 9"/>
    <w:basedOn w:val="Normal"/>
    <w:qFormat/>
    <w:pPr>
      <w:keepNext w:val="true"/>
      <w:jc w:val="center"/>
      <w:outlineLvl w:val="8"/>
    </w:pPr>
    <w:rPr>
      <w:b/>
      <w:color w:val="008000"/>
      <w:sz w:val="7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>
    <w:name w:val="Интернет-ссылка"/>
    <w:rPr>
      <w:color w:val="0000FF"/>
      <w:u w:val="single"/>
    </w:rPr>
  </w:style>
  <w:style w:type="character" w:styleId="Style6">
    <w:name w:val="Выделение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T01" w:customStyle="1">
    <w:name w:val="t01"/>
    <w:qFormat/>
    <w:rsid w:val="009a26a4"/>
    <w:rPr>
      <w:rFonts w:ascii="Verdana" w:hAnsi="Verdana"/>
      <w:color w:val="000080"/>
      <w:sz w:val="18"/>
      <w:szCs w:val="18"/>
    </w:rPr>
  </w:style>
  <w:style w:type="character" w:styleId="Appleconvertedspace" w:customStyle="1">
    <w:name w:val="apple-converted-space"/>
    <w:basedOn w:val="DefaultParagraphFont"/>
    <w:qFormat/>
    <w:rsid w:val="0081000f"/>
    <w:rPr/>
  </w:style>
  <w:style w:type="character" w:styleId="Style7" w:customStyle="1">
    <w:name w:val="Верхний колонтитул Знак"/>
    <w:link w:val="ad"/>
    <w:qFormat/>
    <w:rsid w:val="00314af5"/>
    <w:rPr>
      <w:sz w:val="24"/>
      <w:szCs w:val="24"/>
    </w:rPr>
  </w:style>
  <w:style w:type="character" w:styleId="Style8" w:customStyle="1">
    <w:name w:val="Нижний колонтитул Знак"/>
    <w:link w:val="af"/>
    <w:qFormat/>
    <w:rsid w:val="00314af5"/>
    <w:rPr>
      <w:sz w:val="24"/>
      <w:szCs w:val="24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rFonts w:ascii="Arial" w:hAnsi="Arial"/>
      <w:sz w:val="18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rFonts w:ascii="Arial" w:hAnsi="Arial"/>
      <w:sz w:val="18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rFonts w:ascii="Arial" w:hAnsi="Arial" w:cs="Arial"/>
      <w:b/>
      <w:bCs/>
      <w:color w:val="003399"/>
      <w:sz w:val="20"/>
      <w:szCs w:val="20"/>
      <w:u w:val="single"/>
      <w:lang w:val="en-US"/>
    </w:rPr>
  </w:style>
  <w:style w:type="character" w:styleId="ListLabel35">
    <w:name w:val="ListLabel 35"/>
    <w:qFormat/>
    <w:rPr>
      <w:rFonts w:ascii="Arial" w:hAnsi="Arial" w:cs="Arial"/>
      <w:b/>
      <w:bCs/>
      <w:color w:val="003399"/>
      <w:sz w:val="20"/>
      <w:szCs w:val="20"/>
      <w:u w:val="single"/>
    </w:rPr>
  </w:style>
  <w:style w:type="character" w:styleId="Style9">
    <w:name w:val="Выделение жирным"/>
    <w:qFormat/>
    <w:rPr>
      <w:b/>
      <w:bCs/>
    </w:rPr>
  </w:style>
  <w:style w:type="character" w:styleId="Style10">
    <w:name w:val="Маркеры списка"/>
    <w:qFormat/>
    <w:rPr>
      <w:rFonts w:ascii="OpenSymbol" w:hAnsi="OpenSymbol" w:eastAsia="OpenSymbol" w:cs="OpenSymbol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2">
    <w:name w:val="Body Text"/>
    <w:basedOn w:val="Normal"/>
    <w:pPr>
      <w:tabs>
        <w:tab w:val="left" w:pos="6780" w:leader="none"/>
      </w:tabs>
      <w:jc w:val="both"/>
    </w:pPr>
    <w:rPr/>
  </w:style>
  <w:style w:type="paragraph" w:styleId="Style13">
    <w:name w:val="List"/>
    <w:basedOn w:val="Style12"/>
    <w:pPr/>
    <w:rPr>
      <w:rFonts w:cs="Arial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Style16">
    <w:name w:val="Body Text Indent"/>
    <w:basedOn w:val="Normal"/>
    <w:pPr>
      <w:ind w:firstLine="708"/>
    </w:pPr>
    <w:rPr>
      <w:sz w:val="36"/>
    </w:rPr>
  </w:style>
  <w:style w:type="paragraph" w:styleId="BodyText2">
    <w:name w:val="Body Text 2"/>
    <w:basedOn w:val="Normal"/>
    <w:qFormat/>
    <w:pPr/>
    <w:rPr>
      <w:bCs/>
      <w:color w:val="000000"/>
      <w:sz w:val="28"/>
    </w:rPr>
  </w:style>
  <w:style w:type="paragraph" w:styleId="BodyText3">
    <w:name w:val="Body Text 3"/>
    <w:basedOn w:val="Normal"/>
    <w:qFormat/>
    <w:pPr>
      <w:jc w:val="center"/>
    </w:pPr>
    <w:rPr>
      <w:bCs/>
      <w:color w:val="000000"/>
      <w:sz w:val="36"/>
    </w:rPr>
  </w:style>
  <w:style w:type="paragraph" w:styleId="NormalWeb">
    <w:name w:val="Normal (Web)"/>
    <w:basedOn w:val="Normal"/>
    <w:uiPriority w:val="99"/>
    <w:qFormat/>
    <w:pPr>
      <w:spacing w:before="48" w:after="24"/>
      <w:ind w:right="240" w:hanging="0"/>
    </w:pPr>
    <w:rPr>
      <w:rFonts w:ascii="Arial" w:hAnsi="Arial" w:cs="Arial"/>
      <w:color w:val="000000"/>
      <w:sz w:val="20"/>
      <w:szCs w:val="20"/>
    </w:rPr>
  </w:style>
  <w:style w:type="paragraph" w:styleId="BalloonText">
    <w:name w:val="Balloon Text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T0" w:customStyle="1">
    <w:name w:val="t0"/>
    <w:basedOn w:val="Normal"/>
    <w:qFormat/>
    <w:rsid w:val="009a26a4"/>
    <w:pPr>
      <w:spacing w:beforeAutospacing="1" w:afterAutospacing="1"/>
    </w:pPr>
    <w:rPr>
      <w:rFonts w:ascii="Verdana" w:hAnsi="Verdana"/>
      <w:color w:val="000080"/>
      <w:sz w:val="18"/>
      <w:szCs w:val="18"/>
    </w:rPr>
  </w:style>
  <w:style w:type="paragraph" w:styleId="Style17">
    <w:name w:val="Title"/>
    <w:basedOn w:val="Normal"/>
    <w:qFormat/>
    <w:rsid w:val="00d42fda"/>
    <w:pPr>
      <w:jc w:val="center"/>
    </w:pPr>
    <w:rPr>
      <w:b/>
      <w:bCs/>
      <w:sz w:val="28"/>
    </w:rPr>
  </w:style>
  <w:style w:type="paragraph" w:styleId="Style18">
    <w:name w:val="Header"/>
    <w:basedOn w:val="Normal"/>
    <w:link w:val="ae"/>
    <w:rsid w:val="00314af5"/>
    <w:pPr>
      <w:tabs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Normal"/>
    <w:link w:val="af0"/>
    <w:rsid w:val="00314af5"/>
    <w:pPr>
      <w:tabs>
        <w:tab w:val="center" w:pos="4677" w:leader="none"/>
        <w:tab w:val="right" w:pos="9355" w:leader="none"/>
      </w:tabs>
    </w:pPr>
    <w:rPr/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a149f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hyperlink" Target="http://www.anex-krasnodar.ru/" TargetMode="External"/><Relationship Id="rId3" Type="http://schemas.openxmlformats.org/officeDocument/2006/relationships/hyperlink" Target="mailto:tury-krasnodar@yandex.ru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LibreOffice/6.0.1.1$Windows_x86 LibreOffice_project/60bfb1526849283ce2491346ed2aa51c465abfe6</Application>
  <Pages>4</Pages>
  <Words>1127</Words>
  <Characters>7299</Characters>
  <CharactersWithSpaces>8450</CharactersWithSpaces>
  <Paragraphs>108</Paragraphs>
  <Company>EOS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2019-02-18T13:05:00Z</dcterms:created>
  <dc:creator>ЭОС</dc:creator>
  <dc:description/>
  <dc:language>ru-RU</dc:language>
  <cp:lastModifiedBy/>
  <cp:lastPrinted>2019-01-09T06:51:00Z</cp:lastPrinted>
  <dcterms:modified xsi:type="dcterms:W3CDTF">2019-03-22T16:32:32Z</dcterms:modified>
  <cp:revision>3</cp:revision>
  <dc:subject/>
  <dc:title>35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EOS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