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>Тур №</w:t>
      </w:r>
      <w:bookmarkStart w:id="0" w:name="_GoBack"/>
      <w:bookmarkEnd w:id="0"/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Е в Крым </w:t>
      </w:r>
      <w:hyperlink r:id="rId2" w:tgtFrame="_blank">
        <w:r>
          <w:rPr>
            <w:rStyle w:val="Style5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«Лето в Крыму»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Массандра; Севастополь; Бахчисарай; Алупка; Коктебель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CE181E"/>
          <w:spacing w:val="0"/>
          <w:kern w:val="0"/>
          <w:sz w:val="28"/>
          <w:szCs w:val="28"/>
          <w:u w:val="single"/>
          <w:lang w:val="ru-RU" w:eastAsia="ru-RU" w:bidi="ar-SA"/>
        </w:rPr>
        <w:t>05.07 — 08.07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Продолжительность тура:  4 дня/ 3 ночи </w:t>
      </w:r>
    </w:p>
    <w:tbl>
      <w:tblPr>
        <w:tblW w:w="111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8"/>
      </w:tblGrid>
      <w:tr>
        <w:trPr>
          <w:trHeight w:val="112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04.0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17.00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по Крымскому мосту.</w:t>
            </w:r>
          </w:p>
        </w:tc>
      </w:tr>
      <w:tr>
        <w:trPr>
          <w:trHeight w:val="144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Крым Романтичный  (Массандра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05.0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>.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 xml:space="preserve">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Отправление на экскурсию в п.Массандра, где Вас ждёт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Массандровскому парку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экскурсия во дворец Александра III  - один из интереснейших памятников архитектуры 19 века, построенный в стиле ЛюдовикаXIII –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Массандровский дворец</w:t>
            </w:r>
            <w:r>
              <w:rPr>
                <w:rFonts w:cs="Arial" w:ascii="Arial" w:hAnsi="Arial"/>
                <w:iCs/>
                <w:sz w:val="19"/>
                <w:szCs w:val="19"/>
              </w:rPr>
              <w:t>. Знакомство с архитектурой и внутренним убранством дворца.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Обед в пансионате.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Набережная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становится еще прекрасней, когда вокруг сверкает море разноцветных огней, слышится музыка, а веселье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холм Дарсан.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Свободное время для купания в море.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176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Дорогой тысячелетий (Севастополь - Бахчисарай)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06.0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>.19 2 день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Форосский храм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горой Кошка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Горой Дракон. Отсюда открывается великолепная панорама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Ласпинскую бухту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Экскурсия в город-герой Севастополь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орудийные дворики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памятники защитникам Четвертого бастиона и Э.И.Тотлебену, стелу с барельефом Л.Н.Толстого. Переезд в центр Севастополя.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Графской пристани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Постом №1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Затопленным кораблям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памятника Казарскому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прогулкой по Примбулю. Свободное время для обеда за доп.плату.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Переезд в Бахчисарай </w:t>
            </w:r>
            <w:r>
              <w:rPr>
                <w:rFonts w:cs="Arial" w:ascii="Arial" w:hAnsi="Arial"/>
                <w:iCs/>
                <w:sz w:val="19"/>
                <w:szCs w:val="19"/>
              </w:rPr>
              <w:t>«Дворец в садах»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– бывшую столицу Крымского ханства. Дорога из Севастополя в Бахчисарай будет лежать через город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Инкерман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Из окон автобуса Вы сможете рассмотреть Инкерманский пещерный монастырь и руины крепости Каламита.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Экскурсия в Ханский дворец в Бахчисарае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крымскотатарской дворцовой архитектуры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Во время экскурсии по нему будет возможность, познакомится со знаменитым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фонтаном слёз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воспетым великим Пушкиным в поэме «Бахчисарайский фонтан», заглянуть в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гарем хана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полюбоваться множеством внутренних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двориков, беседок и фонтанов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Экскурсия в парк «Крым в миниатюре на ладони»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- это третий и самый большой по величине парк миниатюр на полуострове, где собраны все историко-культурные и архитектурные достопримечательности полуострова в масштабе 1:25. За 80 минут Вы побываете в Бахчисарае, Севастополе, Ялте, Алуште, Форосе, Симеизе, Гаспре, Мисхоре, Судаке, Феодосии, Евпатории, Черноморском.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Завершением этого экскурсионного дня будет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из блюд национальной </w:t>
            </w:r>
            <w:r>
              <w:rPr>
                <w:rFonts w:cs="Arial" w:ascii="Arial" w:hAnsi="Arial"/>
                <w:b/>
                <w:iCs/>
                <w:sz w:val="19"/>
                <w:szCs w:val="19"/>
                <w:u w:val="single"/>
              </w:rPr>
              <w:t>крымско-татарской кухни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Здесь можно продегустировать продукцию Бахчисарайского винзавода  Возвращение в Ялту. Свободное время.  </w:t>
            </w:r>
          </w:p>
        </w:tc>
      </w:tr>
      <w:tr>
        <w:trPr>
          <w:trHeight w:val="238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(Алупка – Гаспра)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07.0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>.19 3 день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Воронцовским дворцом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зимний 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южный фасад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скульптуры львов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Алупкинскому парку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мыс Ай-Тодор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– Ласточкино гнездо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Возврат в Ялту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Свободное время для обеда и купания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70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08.0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>.19 4 день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артековский костёр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Переезд в Краснодар. Ориентировочное время прибытия в 24.00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  <w:lang w:val="en-US"/>
        </w:rPr>
      </w:pPr>
      <w:r>
        <w:rPr>
          <w:rFonts w:cs="Arial" w:ascii="Arial" w:hAnsi="Arial"/>
          <w:bCs/>
          <w:color w:val="000000"/>
          <w:spacing w:val="7"/>
          <w:sz w:val="16"/>
          <w:szCs w:val="16"/>
          <w:u w:val="single"/>
          <w:lang w:val="en-US"/>
        </w:rPr>
        <w:t>Проживание в пан.«Малахит</w:t>
      </w:r>
      <w:r>
        <w:rPr>
          <w:rFonts w:cs="Arial" w:ascii="Arial" w:hAnsi="Arial"/>
          <w:bCs/>
          <w:color w:val="000000"/>
          <w:spacing w:val="7"/>
          <w:sz w:val="16"/>
          <w:szCs w:val="16"/>
          <w:lang w:val="en-US"/>
        </w:rPr>
        <w:t>» г.Ялта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  <w:lang w:val="en-US"/>
        </w:rPr>
        <w:t xml:space="preserve"> </w:t>
      </w:r>
    </w:p>
    <w:tbl>
      <w:tblPr>
        <w:tblW w:w="1107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40"/>
        <w:gridCol w:w="826"/>
        <w:gridCol w:w="734"/>
        <w:gridCol w:w="1690"/>
        <w:gridCol w:w="1790"/>
        <w:gridCol w:w="1569"/>
        <w:gridCol w:w="1740"/>
        <w:gridCol w:w="72"/>
        <w:gridCol w:w="10"/>
      </w:tblGrid>
      <w:tr>
        <w:trPr>
          <w:trHeight w:val="770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комнатный ЛЮКС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3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14 300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6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6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  <w:lang w:val="en-US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326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13 00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14 500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7595" w:type="dxa"/>
            <w:gridSpan w:val="6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389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Массандровский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Ханский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Парк Крым в миниатюре</w:t>
                  </w:r>
                  <w:r>
                    <w:rPr>
                      <w:rFonts w:cs="Bookman Old Style" w:ascii="Bookman Old Style" w:hAnsi="Bookman Old Style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  <w:r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spacing w:lineRule="auto" w:line="240" w:before="0" w:after="0"/>
        <w:jc w:val="center"/>
        <w:rPr/>
      </w:pPr>
      <w:r>
        <w:rPr>
          <w:rStyle w:val="Style5"/>
          <w:rFonts w:eastAsia="Times New Roman" w:cs="Tahoma" w:ascii="Arial" w:hAnsi="Arial"/>
          <w:b/>
          <w:i w:val="false"/>
          <w:caps w:val="false"/>
          <w:smallCaps w:val="false"/>
          <w:color w:val="000000"/>
          <w:spacing w:val="0"/>
          <w:kern w:val="0"/>
          <w:sz w:val="18"/>
          <w:szCs w:val="18"/>
          <w:u w:val="single"/>
          <w:lang w:val="ru-RU" w:eastAsia="ru-RU" w:bidi="ar-SA"/>
        </w:rPr>
        <w:t xml:space="preserve">Необходимые документы: </w:t>
      </w:r>
      <w:r>
        <w:rPr>
          <w:rStyle w:val="Style5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16"/>
          <w:szCs w:val="16"/>
          <w:u w:val="single"/>
          <w:lang w:val="ru-RU" w:eastAsia="ru-RU" w:bidi="ar-SA"/>
        </w:rPr>
        <w:t xml:space="preserve"> - </w:t>
      </w:r>
      <w:r>
        <w:rPr>
          <w:rStyle w:val="Style5"/>
          <w:rFonts w:eastAsia="Times New Roman" w:cs="Tahoma" w:ascii="Arial" w:hAnsi="Arial"/>
          <w:b/>
          <w:i w:val="false"/>
          <w:caps w:val="false"/>
          <w:smallCaps w:val="false"/>
          <w:color w:val="000000"/>
          <w:spacing w:val="0"/>
          <w:kern w:val="0"/>
          <w:sz w:val="18"/>
          <w:szCs w:val="18"/>
          <w:u w:val="single"/>
          <w:lang w:val="ru-RU" w:eastAsia="ru-RU" w:bidi="ar-SA"/>
        </w:rPr>
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</w:r>
    </w:p>
    <w:sectPr>
      <w:headerReference w:type="default" r:id="rId3"/>
      <w:footerReference w:type="default" r:id="rId4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 CYR">
    <w:charset w:val="cc"/>
    <w:family w:val="swiss"/>
    <w:pitch w:val="variable"/>
  </w:font>
  <w:font w:name="Bookman Old Styl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ListLabel112">
    <w:name w:val="ListLabel 11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3">
    <w:name w:val="ListLabel 113"/>
    <w:qFormat/>
    <w:rPr>
      <w:rFonts w:ascii="Arial" w:hAnsi="Arial" w:cs="Arial"/>
      <w:iCs/>
      <w:sz w:val="19"/>
      <w:szCs w:val="19"/>
    </w:rPr>
  </w:style>
  <w:style w:type="character" w:styleId="ListLabel114">
    <w:name w:val="ListLabel 114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5">
    <w:name w:val="ListLabel 115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leto-v-kryimu-iyul-/-avgust-2019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LibreOffice/6.0.1.1$Windows_x86 LibreOffice_project/60bfb1526849283ce2491346ed2aa51c465abfe6</Application>
  <Pages>3</Pages>
  <Words>1354</Words>
  <Characters>8720</Characters>
  <CharactersWithSpaces>10105</CharactersWithSpaces>
  <Paragraphs>110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2019-05-17T17:38:32Z</dcterms:modified>
  <cp:revision>5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