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Тур №3А Новый год в Крыму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6"/>
          <w:szCs w:val="26"/>
        </w:rPr>
        <w:t xml:space="preserve">Продолжительность тура:  3 дня/ 2 ночи </w:t>
      </w:r>
    </w:p>
    <w:tbl>
      <w:tblPr>
        <w:tblW w:w="111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5"/>
        <w:gridCol w:w="10177"/>
      </w:tblGrid>
      <w:tr>
        <w:trPr>
          <w:trHeight w:val="112" w:hRule="atLeast"/>
        </w:trPr>
        <w:tc>
          <w:tcPr>
            <w:tcW w:w="1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30.12.18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46" w:hanging="0"/>
              <w:rPr>
                <w:rFonts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15.00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 по Крымскому мосту.</w:t>
            </w:r>
          </w:p>
        </w:tc>
      </w:tr>
      <w:tr>
        <w:trPr>
          <w:trHeight w:val="257" w:hRule="atLeast"/>
        </w:trPr>
        <w:tc>
          <w:tcPr>
            <w:tcW w:w="1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 (Партенит - Ялта) Новый год не за горами!)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31.12.18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</w:p>
        </w:tc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8"/>
                <w:szCs w:val="18"/>
              </w:rPr>
              <w:t>, известная еще с середины 17 в.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8"/>
                <w:szCs w:val="18"/>
              </w:rPr>
              <w:t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Набережная Ялты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Канатной дороге «Ялта-Горка» на холм Дарсан.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Свободное время для ужина на набережной, подготовки к празднованию Нового года. 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color w:val="FF0000"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iCs/>
                <w:color w:val="FF0000"/>
                <w:sz w:val="18"/>
                <w:szCs w:val="18"/>
              </w:rPr>
              <w:t>ВСТРЕЧА НОВОГО 2019 ГОДА*</w:t>
            </w:r>
            <w:r>
              <w:rPr>
                <w:rFonts w:cs="Arial" w:ascii="Arial" w:hAnsi="Arial"/>
                <w:b/>
                <w:i/>
                <w:color w:val="FF0000"/>
                <w:sz w:val="19"/>
                <w:szCs w:val="19"/>
              </w:rPr>
              <w:t xml:space="preserve"> </w:t>
            </w:r>
          </w:p>
        </w:tc>
      </w:tr>
      <w:tr>
        <w:trPr>
          <w:trHeight w:val="144" w:hRule="atLeast"/>
        </w:trPr>
        <w:tc>
          <w:tcPr>
            <w:tcW w:w="1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 – Ливадия)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01.01.19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Поздний 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8"/>
                <w:szCs w:val="18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Воронцовским дворцом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зимний 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южный фасад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скульптуры львов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Алупкинскому парку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 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Отсюда можно полюбоваться прекрасным видом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миниатюрный замок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– Ласточкино гнездо</w:t>
            </w:r>
            <w:r>
              <w:rPr>
                <w:rFonts w:cs="Arial" w:ascii="Arial" w:hAnsi="Arial"/>
                <w:iCs/>
                <w:sz w:val="18"/>
                <w:szCs w:val="18"/>
              </w:rPr>
              <w:t>, символ Южного Берега Крыма. Строение находится на отвесной скале и напоминает средневековый рыцарский замок в миниатюре.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Свободное время для обеда за доп.плату.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Загадочный Восток (Бахчисарай)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02.01.19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Освобождение номеров. 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Форосский храм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горой Кошка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Горой Дракон, перевалом Чертова Лестница.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Ласпинскую бухту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Проедите город русской славы Севастополь. </w:t>
            </w:r>
          </w:p>
          <w:p>
            <w:pPr>
              <w:pStyle w:val="Normal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Переезд в Бахчисарай - «Дворец в садах».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Подъём по ущелью Марьям-Дере к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Свято-Успенскому пещерному мужскому монастырю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одному из старейших пещерных монастырей в Крыму.  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iCs/>
                <w:sz w:val="18"/>
                <w:szCs w:val="18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крымскотатарской дворцовой архитектуры. Во время экскурсии по нему будет возможность, познакомится со знаменитым фонтаном слёз, воспетым великим Пушкиным в поэме «Бахчисарайский фонтан», заглянуть в гарем хана, полюбоваться множеством внутренних двориков, беседок и фонтанов. 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Обед из блюд национальной крымско-татарской кухни (доп.плата). Здесь можно продегустировать продукцию Бахчисарайского винзавода  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Переезд в Симферополь. Автобусная обзорная экскурсия, по Симферополю не выходя из автобуса. Сегодняшний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Симферополь </w:t>
            </w:r>
            <w:r>
              <w:rPr>
                <w:rFonts w:cs="Arial" w:ascii="Arial" w:hAnsi="Arial"/>
                <w:iCs/>
                <w:sz w:val="18"/>
                <w:szCs w:val="18"/>
              </w:rPr>
              <w:t>— это столица и «ворота» Крыма. А когда-то он первым его предшественником был Неаполь Скифский — главный город Скифского царства в античные времена. В период Золотой Орды на этом месте существовало небольшое поселение Керменчик. Во время обзорной экскурсии с окон автобуса вас ждёт знакомство с основными достопримечательностями города: раскопками Неаполя Скифского, Петро-Павловским собором, Свято-Троицким женским монастырём, старинной караимской кенассой и многими другими.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Познакомитесь с одним из древнейших городов Крыма –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Белогорском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Услышите рассказ о первой столице Крымского ханства городе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Старый Крым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посёлке Коктебель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который расположен в уникальной по красоте природной зоне. </w:t>
            </w:r>
          </w:p>
          <w:p>
            <w:pPr>
              <w:pStyle w:val="Normal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А заканчивается наше путешествие по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Крымскому полуострову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осмотром из окон автобуса вечных городов планеты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Феодосии 25 веков и Керчи 26 веков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Переезд в Краснодар. Ориентировочное время прибытия в 24.00</w:t>
            </w:r>
          </w:p>
        </w:tc>
      </w:tr>
    </w:tbl>
    <w:p>
      <w:pPr>
        <w:pStyle w:val="Normal"/>
        <w:jc w:val="both"/>
        <w:rPr>
          <w:rFonts w:cs="Arial"/>
          <w:bCs/>
          <w:color w:val="000000"/>
          <w:spacing w:val="7"/>
          <w:sz w:val="18"/>
          <w:szCs w:val="18"/>
        </w:rPr>
      </w:pPr>
      <w:r>
        <w:rPr>
          <w:rFonts w:cs="Arial" w:ascii="Arial" w:hAnsi="Arial"/>
          <w:bCs/>
          <w:color w:val="000080"/>
          <w:spacing w:val="7"/>
          <w:sz w:val="18"/>
          <w:szCs w:val="18"/>
          <w:u w:val="single"/>
        </w:rPr>
        <w:t>Проживание в пан.«Малахит</w:t>
      </w:r>
      <w:r>
        <w:rPr>
          <w:rFonts w:cs="Arial" w:ascii="Arial" w:hAnsi="Arial"/>
          <w:bCs/>
          <w:color w:val="000080"/>
          <w:spacing w:val="7"/>
          <w:sz w:val="18"/>
          <w:szCs w:val="18"/>
        </w:rPr>
        <w:t>» г.Ялта</w:t>
      </w:r>
      <w:r>
        <w:rPr>
          <w:rFonts w:cs="Arial" w:ascii="Arial" w:hAnsi="Arial"/>
          <w:bCs/>
          <w:color w:val="000000"/>
          <w:spacing w:val="7"/>
          <w:sz w:val="18"/>
          <w:szCs w:val="18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</w:t>
      </w:r>
      <w:r>
        <w:rPr>
          <w:rFonts w:cs="Arial" w:ascii="Arial" w:hAnsi="Arial"/>
          <w:b/>
          <w:bCs/>
          <w:color w:val="000000"/>
          <w:spacing w:val="7"/>
          <w:sz w:val="18"/>
          <w:szCs w:val="18"/>
        </w:rPr>
        <w:t>стандартные</w:t>
      </w:r>
      <w:r>
        <w:rPr>
          <w:rFonts w:cs="Arial" w:ascii="Arial" w:hAnsi="Arial"/>
          <w:bCs/>
          <w:color w:val="000000"/>
          <w:spacing w:val="7"/>
          <w:sz w:val="18"/>
          <w:szCs w:val="18"/>
        </w:rPr>
        <w:t xml:space="preserve"> номера и двухкомнатные </w:t>
      </w:r>
      <w:r>
        <w:rPr>
          <w:rFonts w:cs="Arial" w:ascii="Arial" w:hAnsi="Arial"/>
          <w:b/>
          <w:bCs/>
          <w:color w:val="000000"/>
          <w:spacing w:val="7"/>
          <w:sz w:val="18"/>
          <w:szCs w:val="18"/>
        </w:rPr>
        <w:t>полулюксы</w:t>
      </w:r>
      <w:r>
        <w:rPr>
          <w:rFonts w:cs="Arial" w:ascii="Arial" w:hAnsi="Arial"/>
          <w:bCs/>
          <w:color w:val="000000"/>
          <w:spacing w:val="7"/>
          <w:sz w:val="18"/>
          <w:szCs w:val="18"/>
        </w:rPr>
        <w:t xml:space="preserve"> со всеми удобствами, в каждом номере телевизор, холодильник, набор посуды, электрочайник, вентилятор, полотенца, туалетный набор, раздельные кровати. </w:t>
      </w:r>
      <w:r>
        <w:rPr>
          <w:rFonts w:cs="Arial" w:ascii="Arial" w:hAnsi="Arial"/>
          <w:b/>
          <w:bCs/>
          <w:color w:val="000000"/>
          <w:spacing w:val="7"/>
          <w:sz w:val="18"/>
          <w:szCs w:val="18"/>
        </w:rPr>
        <w:t>Люкс</w:t>
      </w:r>
      <w:r>
        <w:rPr>
          <w:rFonts w:cs="Arial" w:ascii="Arial" w:hAnsi="Arial"/>
          <w:bCs/>
          <w:color w:val="000000"/>
          <w:spacing w:val="7"/>
          <w:sz w:val="18"/>
          <w:szCs w:val="18"/>
        </w:rPr>
        <w:t xml:space="preserve">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8"/>
          <w:szCs w:val="18"/>
        </w:rPr>
        <w:t xml:space="preserve"> </w:t>
      </w:r>
    </w:p>
    <w:p>
      <w:pPr>
        <w:pStyle w:val="Normal"/>
        <w:jc w:val="both"/>
        <w:rPr>
          <w:rFonts w:cs="Arial"/>
          <w:bCs/>
          <w:color w:val="000000"/>
          <w:spacing w:val="7"/>
          <w:sz w:val="18"/>
          <w:szCs w:val="18"/>
          <w:lang w:val="en-US"/>
        </w:rPr>
      </w:pPr>
      <w:r>
        <w:rPr>
          <w:rFonts w:cs="Arial"/>
          <w:bCs/>
          <w:color w:val="000000"/>
          <w:spacing w:val="7"/>
          <w:sz w:val="18"/>
          <w:szCs w:val="18"/>
          <w:lang w:val="en-US"/>
        </w:rPr>
      </w:r>
    </w:p>
    <w:tbl>
      <w:tblPr>
        <w:tblW w:w="1106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40"/>
        <w:gridCol w:w="825"/>
        <w:gridCol w:w="735"/>
        <w:gridCol w:w="1690"/>
        <w:gridCol w:w="1790"/>
        <w:gridCol w:w="1570"/>
        <w:gridCol w:w="1730"/>
        <w:gridCol w:w="81"/>
      </w:tblGrid>
      <w:tr>
        <w:trPr>
          <w:trHeight w:val="770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Дополнительное место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в полулюксе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</w:t>
            </w:r>
          </w:p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 xml:space="preserve">ЛЮКС 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9 500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  <w:tc>
          <w:tcPr>
            <w:tcW w:w="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" w:hRule="atLeast"/>
        </w:trPr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ind w:right="-108" w:hanging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Страховка</w:t>
            </w:r>
            <w:r>
              <w:rPr>
                <w:rFonts w:cs="Tahoma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5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ind w:left="-108" w:firstLine="108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Дополнительно оплачивается: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tbl>
            <w:tblPr>
              <w:tblW w:w="712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389"/>
              <w:gridCol w:w="1196"/>
              <w:gridCol w:w="1104"/>
              <w:gridCol w:w="1436"/>
            </w:tblGrid>
            <w:tr>
              <w:trPr>
                <w:trHeight w:val="197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ind w:left="-121" w:firstLine="13"/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218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Ливадийский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rPr>
          <w:rFonts w:cs="Tahoma"/>
          <w:b/>
          <w:b/>
          <w:color w:val="000000"/>
          <w:sz w:val="18"/>
          <w:szCs w:val="18"/>
        </w:rPr>
      </w:pPr>
      <w:r>
        <w:rPr>
          <w:rFonts w:cs="Tahoma"/>
          <w:b/>
          <w:color w:val="000000"/>
          <w:sz w:val="18"/>
          <w:szCs w:val="18"/>
        </w:rPr>
      </w:r>
    </w:p>
    <w:p>
      <w:pPr>
        <w:pStyle w:val="Normal"/>
        <w:tabs>
          <w:tab w:val="left" w:pos="945" w:leader="none"/>
        </w:tabs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 xml:space="preserve">Необходимые документы: </w:t>
      </w:r>
      <w:r>
        <w:rPr>
          <w:rFonts w:cs="Arial" w:ascii="Arial" w:hAnsi="Arial"/>
          <w:b/>
          <w:sz w:val="20"/>
          <w:szCs w:val="20"/>
        </w:rPr>
        <w:t xml:space="preserve"> - </w:t>
      </w:r>
      <w:r>
        <w:rPr>
          <w:rFonts w:cs="Tahoma"/>
          <w:color w:val="000000"/>
          <w:sz w:val="20"/>
          <w:szCs w:val="20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Normal"/>
        <w:tabs>
          <w:tab w:val="left" w:pos="945" w:leader="none"/>
        </w:tabs>
        <w:jc w:val="center"/>
        <w:rPr>
          <w:rFonts w:ascii="Arial" w:hAnsi="Arial" w:cs="Arial"/>
          <w:i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</w:r>
    </w:p>
    <w:p>
      <w:pPr>
        <w:pStyle w:val="Normal"/>
        <w:tabs>
          <w:tab w:val="left" w:pos="945" w:leader="none"/>
        </w:tabs>
        <w:jc w:val="center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>
      <w:pPr>
        <w:pStyle w:val="Normal"/>
        <w:tabs>
          <w:tab w:val="left" w:pos="945" w:leader="none"/>
        </w:tabs>
        <w:jc w:val="center"/>
        <w:rPr>
          <w:rFonts w:ascii="Arial" w:hAnsi="Arial" w:cs="Arial"/>
          <w:i/>
          <w:i/>
          <w:iCs/>
          <w:color w:val="000000"/>
          <w:sz w:val="20"/>
          <w:szCs w:val="20"/>
        </w:rPr>
      </w:pPr>
      <w:r>
        <w:rPr>
          <w:rFonts w:cs="Arial" w:ascii="Arial" w:hAnsi="Arial"/>
          <w:i/>
          <w:iCs/>
          <w:color w:val="000000"/>
          <w:sz w:val="20"/>
          <w:szCs w:val="20"/>
        </w:rPr>
        <w:t>Фирма не несет ответственность за изменения стоимости входных билетов в объектах по маршруту!</w:t>
      </w:r>
    </w:p>
    <w:p>
      <w:pPr>
        <w:pStyle w:val="Normal"/>
        <w:tabs>
          <w:tab w:val="left" w:pos="180" w:leader="none"/>
          <w:tab w:val="left" w:pos="840" w:leader="none"/>
        </w:tabs>
        <w:jc w:val="both"/>
        <w:rPr>
          <w:rFonts w:ascii="Arial" w:hAnsi="Arial" w:cs="Arial"/>
          <w:b/>
          <w:b/>
          <w:i/>
          <w:i/>
          <w:color w:val="FF0000"/>
          <w:sz w:val="19"/>
          <w:szCs w:val="19"/>
        </w:rPr>
      </w:pPr>
      <w:r>
        <w:rPr>
          <w:rFonts w:cs="Arial" w:ascii="Arial" w:hAnsi="Arial"/>
          <w:b/>
          <w:i/>
          <w:color w:val="FF0000"/>
          <w:sz w:val="19"/>
          <w:szCs w:val="19"/>
        </w:rPr>
        <w:t>Встретить  Новый 2019 год*  предлагаем:</w:t>
      </w:r>
    </w:p>
    <w:p>
      <w:pPr>
        <w:pStyle w:val="Normal"/>
        <w:numPr>
          <w:ilvl w:val="0"/>
          <w:numId w:val="1"/>
        </w:numPr>
        <w:tabs>
          <w:tab w:val="left" w:pos="94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i/>
          <w:color w:val="FF0000"/>
          <w:sz w:val="19"/>
          <w:szCs w:val="19"/>
        </w:rPr>
        <w:t xml:space="preserve">Набережная г.Ялты </w:t>
      </w:r>
      <w:r>
        <w:rPr>
          <w:rFonts w:cs="Arial" w:ascii="Arial" w:hAnsi="Arial"/>
          <w:b/>
          <w:i/>
          <w:color w:val="0000FF"/>
          <w:sz w:val="19"/>
          <w:szCs w:val="19"/>
        </w:rPr>
        <w:t>в первую ночь предстоящего года становиться центром массовых гуляний у городской ёлки. Нарядная елка очень необычно будет смотреться на фоне моря и разноцветного фонтана. В новогоднюю ночь пройдут праздничные концерты, различные развлекательные программы, ночное небо расцветят фейерверки. Продолжится и другая традиция – запуск «китайских фонариков» под восторженные возгласы гуляющих по набережной людей. Так празднуют Новый год во всех городах страны? Да, конечно вы правы. Только вот «самое синие в мире» море шумит совсем рядом с новогодней елкой далеко не в каждом российском городе.</w:t>
      </w:r>
    </w:p>
    <w:p>
      <w:pPr>
        <w:pStyle w:val="Normal"/>
        <w:numPr>
          <w:ilvl w:val="0"/>
          <w:numId w:val="1"/>
        </w:numPr>
        <w:tabs>
          <w:tab w:val="left" w:pos="945" w:leader="none"/>
        </w:tabs>
        <w:jc w:val="both"/>
        <w:rPr>
          <w:rFonts w:ascii="Arial" w:hAnsi="Arial" w:cs="Arial"/>
          <w:b/>
          <w:b/>
          <w:i/>
          <w:i/>
          <w:color w:val="0000FF"/>
          <w:sz w:val="19"/>
          <w:szCs w:val="19"/>
        </w:rPr>
      </w:pPr>
      <w:r>
        <w:rPr>
          <w:rFonts w:cs="Arial" w:ascii="Arial" w:hAnsi="Arial"/>
          <w:b/>
          <w:color w:val="FF0000"/>
          <w:sz w:val="19"/>
          <w:szCs w:val="19"/>
        </w:rPr>
        <w:t>Кафе и рестораны г.Ялты</w:t>
      </w:r>
      <w:r>
        <w:rPr>
          <w:rFonts w:cs="Arial" w:ascii="Arial" w:hAnsi="Arial"/>
          <w:b/>
          <w:i/>
          <w:color w:val="FF0000"/>
          <w:sz w:val="19"/>
          <w:szCs w:val="19"/>
        </w:rPr>
        <w:t xml:space="preserve">. </w:t>
      </w:r>
      <w:r>
        <w:rPr>
          <w:rFonts w:cs="Arial" w:ascii="Arial" w:hAnsi="Arial"/>
          <w:b/>
          <w:i/>
          <w:color w:val="0000FF"/>
          <w:sz w:val="19"/>
          <w:szCs w:val="19"/>
        </w:rPr>
        <w:t xml:space="preserve">Предлагают интересные развлекательные программы и изысканное меню. Мы с удовольствием поможем Вам подобрать вариант, который подойдёт для Вас. Более подробная информация о предложениях новогодних банкетов появится немного позже.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tabs>
          <w:tab w:val="left" w:pos="1068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762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8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9"/>
        <w:i/>
        <w:b/>
        <w:rFonts w:ascii="Arial" w:hAnsi="Arial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b/>
      <w:i/>
      <w:color w:val="FF0000"/>
      <w:sz w:val="19"/>
    </w:rPr>
  </w:style>
  <w:style w:type="character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9">
    <w:name w:val="ListLabel 9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5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6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2</Pages>
  <Words>1274</Words>
  <Characters>8325</Characters>
  <CharactersWithSpaces>9603</CharactersWithSpaces>
  <Paragraphs>100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2018-10-24T10:34:00Z</dcterms:created>
  <dc:creator>ЭОС</dc:creator>
  <dc:description/>
  <dc:language>ru-RU</dc:language>
  <cp:lastModifiedBy/>
  <cp:lastPrinted>2015-01-13T08:58:00Z</cp:lastPrinted>
  <dcterms:modified xsi:type="dcterms:W3CDTF">2018-10-25T14:24:12Z</dcterms:modified>
  <cp:revision>3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